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BD" w:rsidRPr="001752E9" w:rsidRDefault="001752E9" w:rsidP="005A3178">
      <w:pPr>
        <w:pStyle w:val="In-pageheading"/>
        <w:ind w:left="0"/>
        <w:rPr>
          <w:color w:val="1F497D" w:themeColor="text2"/>
          <w:sz w:val="96"/>
          <w:szCs w:val="60"/>
        </w:rPr>
      </w:pPr>
      <w:r w:rsidRPr="001752E9">
        <w:rPr>
          <w:color w:val="1F497D" w:themeColor="text2"/>
          <w:sz w:val="96"/>
          <w:szCs w:val="60"/>
        </w:rPr>
        <w:t xml:space="preserve">Wiltshire </w:t>
      </w:r>
      <w:r w:rsidR="00756772">
        <w:rPr>
          <w:color w:val="1F497D" w:themeColor="text2"/>
          <w:sz w:val="96"/>
          <w:szCs w:val="60"/>
        </w:rPr>
        <w:t>Early Years</w:t>
      </w:r>
      <w:r w:rsidR="00756772" w:rsidRPr="001752E9">
        <w:rPr>
          <w:color w:val="1F497D" w:themeColor="text2"/>
          <w:sz w:val="96"/>
          <w:szCs w:val="60"/>
        </w:rPr>
        <w:t xml:space="preserve"> </w:t>
      </w:r>
      <w:r w:rsidRPr="001752E9">
        <w:rPr>
          <w:color w:val="1F497D" w:themeColor="text2"/>
          <w:sz w:val="96"/>
          <w:szCs w:val="60"/>
        </w:rPr>
        <w:t>Graduated Response to SEND Support</w:t>
      </w:r>
      <w:r w:rsidR="00756772">
        <w:rPr>
          <w:color w:val="1F497D" w:themeColor="text2"/>
          <w:sz w:val="96"/>
          <w:szCs w:val="60"/>
        </w:rPr>
        <w:t xml:space="preserve"> </w:t>
      </w:r>
    </w:p>
    <w:p w:rsidR="001752E9" w:rsidRDefault="004F17F7" w:rsidP="001752E9">
      <w:pPr>
        <w:pStyle w:val="In-pageheading"/>
        <w:ind w:left="0"/>
        <w:rPr>
          <w:color w:val="1F497D" w:themeColor="text2"/>
          <w:sz w:val="56"/>
        </w:rPr>
      </w:pPr>
      <w:r>
        <w:rPr>
          <w:color w:val="1F497D" w:themeColor="text2"/>
          <w:sz w:val="56"/>
        </w:rPr>
        <w:t>2016</w:t>
      </w:r>
    </w:p>
    <w:p w:rsidR="001752E9" w:rsidRPr="009C0915" w:rsidRDefault="001752E9" w:rsidP="001752E9">
      <w:pPr>
        <w:pStyle w:val="In-pageheading"/>
        <w:ind w:left="0"/>
        <w:rPr>
          <w:color w:val="1F497D" w:themeColor="text2"/>
          <w:sz w:val="52"/>
        </w:rPr>
      </w:pPr>
    </w:p>
    <w:p w:rsidR="001752E9" w:rsidRDefault="001752E9" w:rsidP="001752E9">
      <w:pPr>
        <w:pStyle w:val="In-pageheading"/>
        <w:ind w:left="0"/>
        <w:rPr>
          <w:color w:val="1F497D" w:themeColor="text2"/>
          <w:sz w:val="52"/>
        </w:rPr>
      </w:pPr>
    </w:p>
    <w:p w:rsidR="005A3178" w:rsidRDefault="005A3178" w:rsidP="001752E9">
      <w:pPr>
        <w:pStyle w:val="In-pageheading"/>
        <w:ind w:left="0"/>
        <w:rPr>
          <w:color w:val="1F497D" w:themeColor="text2"/>
          <w:sz w:val="52"/>
        </w:rPr>
      </w:pPr>
    </w:p>
    <w:p w:rsidR="001752E9" w:rsidRDefault="001752E9" w:rsidP="001752E9">
      <w:pPr>
        <w:pStyle w:val="In-pageheading"/>
        <w:ind w:left="0"/>
        <w:rPr>
          <w:color w:val="1F497D" w:themeColor="text2"/>
          <w:sz w:val="56"/>
        </w:rPr>
      </w:pPr>
    </w:p>
    <w:p w:rsidR="009C0915" w:rsidRDefault="009C0915" w:rsidP="001752E9">
      <w:pPr>
        <w:pStyle w:val="In-pageheading"/>
        <w:ind w:left="0"/>
        <w:rPr>
          <w:color w:val="1F497D" w:themeColor="text2"/>
          <w:sz w:val="56"/>
        </w:rPr>
      </w:pPr>
    </w:p>
    <w:p w:rsidR="009C0915" w:rsidRPr="009C0915" w:rsidRDefault="009C0915" w:rsidP="005A3178">
      <w:pPr>
        <w:pStyle w:val="In-pageheading"/>
        <w:ind w:left="0" w:right="566"/>
        <w:rPr>
          <w:color w:val="1F497D" w:themeColor="text2"/>
          <w:sz w:val="24"/>
        </w:rPr>
      </w:pPr>
    </w:p>
    <w:tbl>
      <w:tblPr>
        <w:tblStyle w:val="TableGrid"/>
        <w:tblpPr w:leftFromText="180" w:rightFromText="180" w:vertAnchor="text" w:horzAnchor="margin" w:tblpX="396" w:tblpY="111"/>
        <w:tblW w:w="0" w:type="auto"/>
        <w:tblLook w:val="04A0"/>
      </w:tblPr>
      <w:tblGrid>
        <w:gridCol w:w="9839"/>
      </w:tblGrid>
      <w:tr w:rsidR="001752E9" w:rsidTr="005A3178">
        <w:trPr>
          <w:trHeight w:val="3694"/>
        </w:trPr>
        <w:tc>
          <w:tcPr>
            <w:tcW w:w="9839" w:type="dxa"/>
            <w:shd w:val="clear" w:color="auto" w:fill="1F497D" w:themeFill="text2"/>
            <w:tcMar>
              <w:top w:w="340" w:type="dxa"/>
              <w:left w:w="340" w:type="dxa"/>
              <w:bottom w:w="340" w:type="dxa"/>
              <w:right w:w="340" w:type="dxa"/>
            </w:tcMar>
          </w:tcPr>
          <w:p w:rsidR="00EF50B4" w:rsidRDefault="0041163D" w:rsidP="005A3178">
            <w:pPr>
              <w:pStyle w:val="Tableheading1"/>
              <w:rPr>
                <w:b w:val="0"/>
                <w:sz w:val="24"/>
              </w:rPr>
            </w:pPr>
            <w:r>
              <w:rPr>
                <w:b w:val="0"/>
                <w:sz w:val="24"/>
              </w:rPr>
              <w:t xml:space="preserve">Written by </w:t>
            </w:r>
          </w:p>
          <w:p w:rsidR="001752E9" w:rsidRPr="009C0915" w:rsidRDefault="00EF50B4" w:rsidP="005A3178">
            <w:pPr>
              <w:pStyle w:val="Tableheading1"/>
              <w:rPr>
                <w:b w:val="0"/>
                <w:sz w:val="24"/>
              </w:rPr>
            </w:pPr>
            <w:r>
              <w:rPr>
                <w:b w:val="0"/>
                <w:sz w:val="24"/>
              </w:rPr>
              <w:t xml:space="preserve">Bethan Hamby, </w:t>
            </w:r>
            <w:r w:rsidR="001752E9" w:rsidRPr="009C0915">
              <w:rPr>
                <w:b w:val="0"/>
                <w:sz w:val="24"/>
              </w:rPr>
              <w:t>Rebecca Mitcham</w:t>
            </w:r>
            <w:r>
              <w:rPr>
                <w:b w:val="0"/>
                <w:sz w:val="24"/>
              </w:rPr>
              <w:t xml:space="preserve"> and Charlotte Lockhart, Educational Psychologists</w:t>
            </w:r>
          </w:p>
          <w:p w:rsidR="004672D0" w:rsidRDefault="00EF50B4" w:rsidP="00EF50B4">
            <w:pPr>
              <w:pStyle w:val="Tableheading1"/>
              <w:rPr>
                <w:b w:val="0"/>
                <w:sz w:val="24"/>
                <w:szCs w:val="24"/>
              </w:rPr>
            </w:pPr>
            <w:r>
              <w:rPr>
                <w:b w:val="0"/>
                <w:sz w:val="24"/>
              </w:rPr>
              <w:t>Clare Shipley and Jane Provis, Senior SEND Lead Workers</w:t>
            </w:r>
            <w:r w:rsidR="004672D0">
              <w:rPr>
                <w:b w:val="0"/>
                <w:sz w:val="24"/>
              </w:rPr>
              <w:t xml:space="preserve"> </w:t>
            </w:r>
            <w:r w:rsidRPr="009C0915">
              <w:rPr>
                <w:b w:val="0"/>
                <w:sz w:val="24"/>
              </w:rPr>
              <w:t>and</w:t>
            </w:r>
            <w:r>
              <w:rPr>
                <w:b w:val="0"/>
                <w:sz w:val="24"/>
              </w:rPr>
              <w:t xml:space="preserve"> Caroline Bell </w:t>
            </w:r>
            <w:r w:rsidR="00A54027">
              <w:rPr>
                <w:b w:val="0"/>
                <w:sz w:val="24"/>
              </w:rPr>
              <w:t>,</w:t>
            </w:r>
            <w:r>
              <w:rPr>
                <w:b w:val="0"/>
                <w:sz w:val="24"/>
              </w:rPr>
              <w:t>Team Lead, SEN &amp; Disability Service  0 - 25</w:t>
            </w:r>
            <w:r w:rsidR="004672D0" w:rsidRPr="004672D0">
              <w:rPr>
                <w:b w:val="0"/>
                <w:sz w:val="24"/>
                <w:szCs w:val="24"/>
              </w:rPr>
              <w:t xml:space="preserve"> </w:t>
            </w:r>
          </w:p>
          <w:p w:rsidR="00EF50B4" w:rsidRPr="009C0915" w:rsidRDefault="004672D0" w:rsidP="00EF50B4">
            <w:pPr>
              <w:pStyle w:val="Tableheading1"/>
              <w:rPr>
                <w:b w:val="0"/>
                <w:sz w:val="24"/>
              </w:rPr>
            </w:pPr>
            <w:r w:rsidRPr="004672D0">
              <w:rPr>
                <w:b w:val="0"/>
                <w:sz w:val="24"/>
                <w:szCs w:val="24"/>
              </w:rPr>
              <w:t>Rachel Schendel, Early Years Inclusion Officer</w:t>
            </w:r>
            <w:r>
              <w:rPr>
                <w:b w:val="0"/>
                <w:sz w:val="24"/>
                <w:szCs w:val="24"/>
              </w:rPr>
              <w:t>, Early Help</w:t>
            </w:r>
          </w:p>
          <w:p w:rsidR="001752E9" w:rsidRPr="009C0915" w:rsidRDefault="00EF50B4" w:rsidP="005A3178">
            <w:pPr>
              <w:pStyle w:val="Tableheading1"/>
              <w:rPr>
                <w:b w:val="0"/>
                <w:sz w:val="24"/>
              </w:rPr>
            </w:pPr>
            <w:r>
              <w:rPr>
                <w:b w:val="0"/>
                <w:sz w:val="24"/>
              </w:rPr>
              <w:t>Pia Grant, Team Lead Early Years, from T</w:t>
            </w:r>
            <w:r w:rsidRPr="009C0915">
              <w:rPr>
                <w:b w:val="0"/>
                <w:sz w:val="24"/>
              </w:rPr>
              <w:t>he</w:t>
            </w:r>
            <w:r>
              <w:rPr>
                <w:b w:val="0"/>
                <w:sz w:val="24"/>
              </w:rPr>
              <w:t xml:space="preserve"> Wiltshire Speech and Language Therapy Service </w:t>
            </w:r>
            <w:r w:rsidR="001752E9" w:rsidRPr="009C0915">
              <w:rPr>
                <w:b w:val="0"/>
                <w:sz w:val="24"/>
              </w:rPr>
              <w:t>Alison Patrick, Lead Professional</w:t>
            </w:r>
            <w:r>
              <w:rPr>
                <w:b w:val="0"/>
                <w:sz w:val="24"/>
              </w:rPr>
              <w:t xml:space="preserve"> for Physical and Medical needs</w:t>
            </w:r>
          </w:p>
          <w:p w:rsidR="00FB58EA" w:rsidRPr="009C0915" w:rsidRDefault="00FB58EA" w:rsidP="00FB58EA">
            <w:pPr>
              <w:pStyle w:val="Tableheading1"/>
              <w:rPr>
                <w:b w:val="0"/>
                <w:sz w:val="24"/>
              </w:rPr>
            </w:pPr>
            <w:r>
              <w:rPr>
                <w:b w:val="0"/>
                <w:sz w:val="24"/>
              </w:rPr>
              <w:t>Angela Everett</w:t>
            </w:r>
            <w:r w:rsidRPr="009C0915">
              <w:rPr>
                <w:b w:val="0"/>
                <w:sz w:val="24"/>
              </w:rPr>
              <w:t xml:space="preserve">, </w:t>
            </w:r>
            <w:r w:rsidR="0020410D">
              <w:rPr>
                <w:b w:val="0"/>
                <w:sz w:val="24"/>
              </w:rPr>
              <w:t xml:space="preserve">Service Manager </w:t>
            </w:r>
            <w:r w:rsidRPr="009C0915">
              <w:rPr>
                <w:b w:val="0"/>
                <w:sz w:val="24"/>
              </w:rPr>
              <w:t>SEN</w:t>
            </w:r>
            <w:r>
              <w:rPr>
                <w:b w:val="0"/>
                <w:sz w:val="24"/>
              </w:rPr>
              <w:t xml:space="preserve"> &amp; Disability Service 0 - 25</w:t>
            </w:r>
          </w:p>
          <w:p w:rsidR="000B3683" w:rsidRDefault="000B3683" w:rsidP="00B971B2">
            <w:pPr>
              <w:pStyle w:val="Tableheading1"/>
              <w:rPr>
                <w:b w:val="0"/>
                <w:sz w:val="24"/>
              </w:rPr>
            </w:pPr>
          </w:p>
          <w:p w:rsidR="00FB58EA" w:rsidRDefault="00FB58EA" w:rsidP="00FB58EA">
            <w:pPr>
              <w:pStyle w:val="Tableheading1"/>
              <w:rPr>
                <w:b w:val="0"/>
                <w:sz w:val="24"/>
              </w:rPr>
            </w:pPr>
            <w:r w:rsidRPr="009C0915">
              <w:rPr>
                <w:b w:val="0"/>
                <w:sz w:val="24"/>
              </w:rPr>
              <w:t>With grateful thanks to</w:t>
            </w:r>
            <w:r>
              <w:rPr>
                <w:b w:val="0"/>
                <w:sz w:val="24"/>
              </w:rPr>
              <w:t>:</w:t>
            </w:r>
          </w:p>
          <w:p w:rsidR="000B3683" w:rsidRDefault="004F17F7" w:rsidP="000B3683">
            <w:pPr>
              <w:pStyle w:val="Tableheading1"/>
              <w:rPr>
                <w:b w:val="0"/>
                <w:sz w:val="24"/>
              </w:rPr>
            </w:pPr>
            <w:r>
              <w:rPr>
                <w:b w:val="0"/>
                <w:sz w:val="24"/>
              </w:rPr>
              <w:t xml:space="preserve">The </w:t>
            </w:r>
            <w:r w:rsidR="000B3683">
              <w:rPr>
                <w:b w:val="0"/>
                <w:sz w:val="24"/>
              </w:rPr>
              <w:t>SEN</w:t>
            </w:r>
            <w:r w:rsidR="004216B8">
              <w:rPr>
                <w:b w:val="0"/>
                <w:sz w:val="24"/>
              </w:rPr>
              <w:t xml:space="preserve"> </w:t>
            </w:r>
            <w:r>
              <w:rPr>
                <w:b w:val="0"/>
                <w:sz w:val="24"/>
              </w:rPr>
              <w:t>&amp; Disability</w:t>
            </w:r>
            <w:r w:rsidR="000B3683">
              <w:rPr>
                <w:b w:val="0"/>
                <w:sz w:val="24"/>
              </w:rPr>
              <w:t xml:space="preserve"> Service</w:t>
            </w:r>
            <w:r>
              <w:rPr>
                <w:b w:val="0"/>
                <w:sz w:val="24"/>
              </w:rPr>
              <w:t xml:space="preserve"> 0 - 25</w:t>
            </w:r>
            <w:r w:rsidR="000B3683">
              <w:rPr>
                <w:b w:val="0"/>
                <w:sz w:val="24"/>
              </w:rPr>
              <w:t xml:space="preserve"> for material, comments and advice on </w:t>
            </w:r>
            <w:r>
              <w:rPr>
                <w:b w:val="0"/>
                <w:sz w:val="24"/>
              </w:rPr>
              <w:t xml:space="preserve">Early Years Foundation Stage </w:t>
            </w:r>
            <w:r w:rsidR="000B3683">
              <w:rPr>
                <w:b w:val="0"/>
                <w:sz w:val="24"/>
              </w:rPr>
              <w:t>statutory</w:t>
            </w:r>
            <w:r>
              <w:rPr>
                <w:b w:val="0"/>
                <w:sz w:val="24"/>
              </w:rPr>
              <w:t xml:space="preserve"> curriculum</w:t>
            </w:r>
            <w:r w:rsidR="000B3683">
              <w:rPr>
                <w:b w:val="0"/>
                <w:sz w:val="24"/>
              </w:rPr>
              <w:t xml:space="preserve"> </w:t>
            </w:r>
            <w:r w:rsidR="0020410D">
              <w:rPr>
                <w:b w:val="0"/>
                <w:sz w:val="24"/>
              </w:rPr>
              <w:t>(EYFS</w:t>
            </w:r>
            <w:r>
              <w:rPr>
                <w:b w:val="0"/>
                <w:sz w:val="24"/>
              </w:rPr>
              <w:t>) and processes</w:t>
            </w:r>
            <w:r w:rsidR="000B3683">
              <w:rPr>
                <w:b w:val="0"/>
                <w:sz w:val="24"/>
              </w:rPr>
              <w:t>.</w:t>
            </w:r>
            <w:r w:rsidR="00694BBA">
              <w:rPr>
                <w:b w:val="0"/>
                <w:sz w:val="24"/>
              </w:rPr>
              <w:t xml:space="preserve"> </w:t>
            </w:r>
          </w:p>
          <w:p w:rsidR="00D25E2F" w:rsidRDefault="003E4E93" w:rsidP="000B3683">
            <w:pPr>
              <w:pStyle w:val="Tableheading1"/>
              <w:rPr>
                <w:b w:val="0"/>
                <w:sz w:val="24"/>
              </w:rPr>
            </w:pPr>
            <w:r>
              <w:rPr>
                <w:b w:val="0"/>
                <w:sz w:val="24"/>
              </w:rPr>
              <w:t>Natalia Reyner, Lead Professional Early Learning &amp; Development, Early Years Assessment &amp; Moderation, Commission</w:t>
            </w:r>
            <w:r w:rsidR="00D8515D">
              <w:rPr>
                <w:b w:val="0"/>
                <w:sz w:val="24"/>
              </w:rPr>
              <w:t>ing, Performance &amp;</w:t>
            </w:r>
            <w:r>
              <w:rPr>
                <w:b w:val="0"/>
                <w:sz w:val="24"/>
              </w:rPr>
              <w:t xml:space="preserve"> School Effectiveness Team.</w:t>
            </w:r>
          </w:p>
          <w:p w:rsidR="001752E9" w:rsidRPr="001752E9" w:rsidRDefault="001752E9" w:rsidP="004F17F7">
            <w:pPr>
              <w:pStyle w:val="Tableheading1"/>
              <w:rPr>
                <w:b w:val="0"/>
              </w:rPr>
            </w:pPr>
          </w:p>
        </w:tc>
      </w:tr>
    </w:tbl>
    <w:p w:rsidR="00EE33BD" w:rsidRDefault="00EE33BD" w:rsidP="005A3178">
      <w:pPr>
        <w:framePr w:w="9535" w:wrap="auto" w:hAnchor="text"/>
        <w:spacing w:after="200" w:line="276" w:lineRule="auto"/>
        <w:ind w:left="0" w:right="0"/>
        <w:sectPr w:rsidR="00EE33BD" w:rsidSect="005410A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274" w:bottom="1440" w:left="993" w:header="708" w:footer="142" w:gutter="0"/>
          <w:pgNumType w:start="5" w:chapStyle="1"/>
          <w:cols w:space="708"/>
          <w:docGrid w:linePitch="360"/>
        </w:sectPr>
      </w:pPr>
      <w:r>
        <w:rPr>
          <w:noProof/>
        </w:rPr>
        <w:drawing>
          <wp:anchor distT="0" distB="0" distL="114300" distR="114300" simplePos="0" relativeHeight="251660288" behindDoc="0" locked="0" layoutInCell="1" allowOverlap="1">
            <wp:simplePos x="0" y="0"/>
            <wp:positionH relativeFrom="column">
              <wp:posOffset>-603413</wp:posOffset>
            </wp:positionH>
            <wp:positionV relativeFrom="paragraph">
              <wp:posOffset>7886043</wp:posOffset>
            </wp:positionV>
            <wp:extent cx="7514635" cy="1173201"/>
            <wp:effectExtent l="19050" t="0" r="0" b="0"/>
            <wp:wrapNone/>
            <wp:docPr id="71" name="Picture 71" descr="A4 Header_blue_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4 Header_blue_no logo"/>
                    <pic:cNvPicPr>
                      <a:picLocks noChangeAspect="1" noChangeArrowheads="1"/>
                    </pic:cNvPicPr>
                  </pic:nvPicPr>
                  <pic:blipFill>
                    <a:blip r:embed="rId14" cstate="print"/>
                    <a:srcRect/>
                    <a:stretch>
                      <a:fillRect/>
                    </a:stretch>
                  </pic:blipFill>
                  <pic:spPr bwMode="auto">
                    <a:xfrm>
                      <a:off x="0" y="0"/>
                      <a:ext cx="7513516" cy="1173026"/>
                    </a:xfrm>
                    <a:prstGeom prst="rect">
                      <a:avLst/>
                    </a:prstGeom>
                    <a:noFill/>
                    <a:ln w="9525">
                      <a:noFill/>
                      <a:miter lim="800000"/>
                      <a:headEnd/>
                      <a:tailEnd/>
                    </a:ln>
                  </pic:spPr>
                </pic:pic>
              </a:graphicData>
            </a:graphic>
          </wp:anchor>
        </w:drawing>
      </w:r>
    </w:p>
    <w:p w:rsidR="00AE73FF" w:rsidRDefault="00AE73FF" w:rsidP="00AE73FF">
      <w:pPr>
        <w:pStyle w:val="In-pageheading"/>
        <w:rPr>
          <w:b w:val="0"/>
          <w:sz w:val="72"/>
          <w:szCs w:val="72"/>
        </w:rPr>
      </w:pPr>
      <w:r>
        <w:rPr>
          <w:b w:val="0"/>
          <w:sz w:val="72"/>
          <w:szCs w:val="72"/>
        </w:rPr>
        <w:lastRenderedPageBreak/>
        <w:t>Contents</w:t>
      </w:r>
    </w:p>
    <w:p w:rsidR="00AE73FF" w:rsidRDefault="00AE73FF" w:rsidP="00AE73FF">
      <w:pPr>
        <w:pStyle w:val="In-pageheading"/>
      </w:pPr>
    </w:p>
    <w:p w:rsidR="00AE73FF" w:rsidRDefault="00231954" w:rsidP="00AE73FF">
      <w:pPr>
        <w:pStyle w:val="In-pageheading"/>
      </w:pPr>
      <w:hyperlink w:anchor="whatisthestatusofthisdocument" w:tooltip="Page 2" w:history="1">
        <w:r w:rsidR="00AE73FF">
          <w:rPr>
            <w:rStyle w:val="Hyperlink"/>
          </w:rPr>
          <w:t>What is the status of this document?</w:t>
        </w:r>
      </w:hyperlink>
      <w:r w:rsidR="00987D44">
        <w:tab/>
      </w:r>
      <w:r w:rsidR="00987D44">
        <w:tab/>
      </w:r>
      <w:r w:rsidR="00987D44">
        <w:tab/>
      </w:r>
      <w:r w:rsidR="00987D44">
        <w:tab/>
      </w:r>
      <w:r w:rsidR="00987D44">
        <w:tab/>
        <w:t>3</w:t>
      </w:r>
    </w:p>
    <w:p w:rsidR="00AE73FF" w:rsidRDefault="00AE73FF" w:rsidP="00AE73FF">
      <w:pPr>
        <w:pStyle w:val="In-pageheading"/>
        <w:ind w:right="0"/>
      </w:pPr>
    </w:p>
    <w:bookmarkStart w:id="0" w:name="Contents2"/>
    <w:p w:rsidR="00AE73FF" w:rsidRDefault="00231954" w:rsidP="00AE73FF">
      <w:pPr>
        <w:pStyle w:val="In-pageheading"/>
        <w:ind w:right="0"/>
      </w:pPr>
      <w:r>
        <w:fldChar w:fldCharType="begin"/>
      </w:r>
      <w:r w:rsidR="0023515E">
        <w:instrText>HYPERLINK  \l "themes" \o "page 3"</w:instrText>
      </w:r>
      <w:r>
        <w:fldChar w:fldCharType="separate"/>
      </w:r>
      <w:r w:rsidR="0023515E">
        <w:rPr>
          <w:rStyle w:val="Hyperlink"/>
        </w:rPr>
        <w:t>Themes</w:t>
      </w:r>
      <w:r>
        <w:fldChar w:fldCharType="end"/>
      </w:r>
      <w:r w:rsidR="00987D44">
        <w:t xml:space="preserve"> </w:t>
      </w:r>
      <w:r w:rsidR="00987D44">
        <w:tab/>
      </w:r>
      <w:r w:rsidR="00987D44">
        <w:tab/>
      </w:r>
      <w:r w:rsidR="00987D44">
        <w:tab/>
      </w:r>
      <w:r w:rsidR="00987D44">
        <w:tab/>
      </w:r>
      <w:r w:rsidR="00987D44">
        <w:tab/>
      </w:r>
      <w:r w:rsidR="00987D44">
        <w:tab/>
      </w:r>
      <w:r w:rsidR="00987D44">
        <w:tab/>
      </w:r>
      <w:r w:rsidR="00987D44">
        <w:tab/>
      </w:r>
      <w:r w:rsidR="00987D44">
        <w:tab/>
      </w:r>
      <w:r w:rsidR="00987D44">
        <w:tab/>
      </w:r>
      <w:r w:rsidR="00987D44">
        <w:tab/>
        <w:t>4</w:t>
      </w:r>
    </w:p>
    <w:bookmarkEnd w:id="0"/>
    <w:p w:rsidR="00AE73FF" w:rsidRDefault="00AE73FF" w:rsidP="00AE73FF">
      <w:pPr>
        <w:pStyle w:val="In-pageheading"/>
        <w:ind w:right="0"/>
      </w:pPr>
    </w:p>
    <w:bookmarkStart w:id="1" w:name="Contents3"/>
    <w:p w:rsidR="00AE73FF" w:rsidRDefault="00231954" w:rsidP="00AE73FF">
      <w:pPr>
        <w:pStyle w:val="In-pageheading"/>
        <w:ind w:right="0"/>
        <w:rPr>
          <w:szCs w:val="36"/>
        </w:rPr>
      </w:pPr>
      <w:r>
        <w:fldChar w:fldCharType="begin"/>
      </w:r>
      <w:r w:rsidR="0023515E">
        <w:instrText>HYPERLINK  \l "theroleofthelocalauthority" \o "page 5"</w:instrText>
      </w:r>
      <w:r>
        <w:fldChar w:fldCharType="separate"/>
      </w:r>
      <w:r w:rsidR="00AE73FF">
        <w:rPr>
          <w:rStyle w:val="Hyperlink"/>
          <w:szCs w:val="36"/>
        </w:rPr>
        <w:t>The role of the local authority</w:t>
      </w:r>
      <w:r>
        <w:fldChar w:fldCharType="end"/>
      </w:r>
      <w:r w:rsidR="00987D44">
        <w:rPr>
          <w:szCs w:val="36"/>
        </w:rPr>
        <w:tab/>
      </w:r>
      <w:r w:rsidR="00987D44">
        <w:rPr>
          <w:szCs w:val="36"/>
        </w:rPr>
        <w:tab/>
      </w:r>
      <w:r w:rsidR="00987D44">
        <w:rPr>
          <w:szCs w:val="36"/>
        </w:rPr>
        <w:tab/>
      </w:r>
      <w:r w:rsidR="00987D44">
        <w:rPr>
          <w:szCs w:val="36"/>
        </w:rPr>
        <w:tab/>
      </w:r>
      <w:r w:rsidR="00987D44">
        <w:rPr>
          <w:szCs w:val="36"/>
        </w:rPr>
        <w:tab/>
      </w:r>
      <w:r w:rsidR="00987D44">
        <w:rPr>
          <w:szCs w:val="36"/>
        </w:rPr>
        <w:tab/>
      </w:r>
      <w:r w:rsidR="00987D44">
        <w:rPr>
          <w:szCs w:val="36"/>
        </w:rPr>
        <w:tab/>
        <w:t>6</w:t>
      </w:r>
    </w:p>
    <w:bookmarkEnd w:id="1"/>
    <w:p w:rsidR="00AE73FF" w:rsidRDefault="00AE73FF" w:rsidP="00AE73FF">
      <w:pPr>
        <w:pStyle w:val="In-pageheading"/>
        <w:rPr>
          <w:szCs w:val="36"/>
        </w:rPr>
      </w:pPr>
    </w:p>
    <w:p w:rsidR="00AE73FF" w:rsidRDefault="00AE73FF" w:rsidP="00AE73FF">
      <w:pPr>
        <w:pStyle w:val="In-pageheading"/>
        <w:rPr>
          <w:szCs w:val="36"/>
        </w:rPr>
      </w:pPr>
      <w:proofErr w:type="gramStart"/>
      <w:r>
        <w:rPr>
          <w:szCs w:val="36"/>
        </w:rPr>
        <w:t>The Assess</w:t>
      </w:r>
      <w:proofErr w:type="gramEnd"/>
      <w:r>
        <w:rPr>
          <w:szCs w:val="36"/>
        </w:rPr>
        <w:t>, Plan, Do, Review Cycle:</w:t>
      </w:r>
    </w:p>
    <w:p w:rsidR="00AE73FF" w:rsidRDefault="00AE73FF" w:rsidP="00AE73FF">
      <w:pPr>
        <w:pStyle w:val="In-pageheading"/>
        <w:rPr>
          <w:szCs w:val="36"/>
        </w:rPr>
      </w:pPr>
    </w:p>
    <w:bookmarkStart w:id="2" w:name="Contents4"/>
    <w:p w:rsidR="00AE73FF" w:rsidRDefault="00231954" w:rsidP="00AE73FF">
      <w:pPr>
        <w:pStyle w:val="In-pageheading"/>
        <w:numPr>
          <w:ilvl w:val="1"/>
          <w:numId w:val="15"/>
        </w:numPr>
        <w:rPr>
          <w:szCs w:val="36"/>
        </w:rPr>
      </w:pPr>
      <w:r>
        <w:fldChar w:fldCharType="begin"/>
      </w:r>
      <w:r w:rsidR="0023515E">
        <w:instrText>HYPERLINK  \l "identifyingpotentialsen" \o "page 6"</w:instrText>
      </w:r>
      <w:r>
        <w:fldChar w:fldCharType="separate"/>
      </w:r>
      <w:r w:rsidR="00AE73FF">
        <w:rPr>
          <w:rStyle w:val="Hyperlink"/>
          <w:szCs w:val="36"/>
        </w:rPr>
        <w:t>Identifying potential SEN</w:t>
      </w:r>
      <w:r>
        <w:fldChar w:fldCharType="end"/>
      </w:r>
      <w:r w:rsidR="00987D44">
        <w:rPr>
          <w:szCs w:val="36"/>
        </w:rPr>
        <w:tab/>
      </w:r>
      <w:r w:rsidR="00987D44">
        <w:rPr>
          <w:szCs w:val="36"/>
        </w:rPr>
        <w:tab/>
      </w:r>
      <w:r w:rsidR="00987D44">
        <w:rPr>
          <w:szCs w:val="36"/>
        </w:rPr>
        <w:tab/>
      </w:r>
      <w:r w:rsidR="00987D44">
        <w:rPr>
          <w:szCs w:val="36"/>
        </w:rPr>
        <w:tab/>
      </w:r>
      <w:r w:rsidR="00987D44">
        <w:rPr>
          <w:szCs w:val="36"/>
        </w:rPr>
        <w:tab/>
        <w:t>7</w:t>
      </w:r>
    </w:p>
    <w:bookmarkEnd w:id="2"/>
    <w:p w:rsidR="00AE73FF" w:rsidRDefault="00AE73FF" w:rsidP="00AE73FF">
      <w:pPr>
        <w:pStyle w:val="In-pageheading"/>
        <w:rPr>
          <w:szCs w:val="36"/>
        </w:rPr>
      </w:pPr>
    </w:p>
    <w:bookmarkStart w:id="3" w:name="Contents5"/>
    <w:p w:rsidR="00AE73FF" w:rsidRDefault="00231954" w:rsidP="00AE73FF">
      <w:pPr>
        <w:pStyle w:val="In-pageheading"/>
        <w:numPr>
          <w:ilvl w:val="1"/>
          <w:numId w:val="15"/>
        </w:numPr>
        <w:rPr>
          <w:szCs w:val="36"/>
        </w:rPr>
      </w:pPr>
      <w:r>
        <w:fldChar w:fldCharType="begin"/>
      </w:r>
      <w:r w:rsidR="0023515E">
        <w:instrText>HYPERLINK  \l "assess" \o "page 9"</w:instrText>
      </w:r>
      <w:r>
        <w:fldChar w:fldCharType="separate"/>
      </w:r>
      <w:r w:rsidR="0023515E">
        <w:rPr>
          <w:rStyle w:val="Hyperlink"/>
          <w:szCs w:val="36"/>
        </w:rPr>
        <w:t>Assess</w:t>
      </w:r>
      <w:r>
        <w:fldChar w:fldCharType="end"/>
      </w:r>
      <w:r w:rsidR="00987D44">
        <w:rPr>
          <w:szCs w:val="36"/>
        </w:rPr>
        <w:tab/>
      </w:r>
      <w:r w:rsidR="00987D44">
        <w:rPr>
          <w:szCs w:val="36"/>
        </w:rPr>
        <w:tab/>
      </w:r>
      <w:r w:rsidR="00987D44">
        <w:rPr>
          <w:szCs w:val="36"/>
        </w:rPr>
        <w:tab/>
      </w:r>
      <w:r w:rsidR="00987D44">
        <w:rPr>
          <w:szCs w:val="36"/>
        </w:rPr>
        <w:tab/>
      </w:r>
      <w:r w:rsidR="00987D44">
        <w:rPr>
          <w:szCs w:val="36"/>
        </w:rPr>
        <w:tab/>
      </w:r>
      <w:r w:rsidR="00987D44">
        <w:rPr>
          <w:szCs w:val="36"/>
        </w:rPr>
        <w:tab/>
      </w:r>
      <w:r w:rsidR="00987D44">
        <w:rPr>
          <w:szCs w:val="36"/>
        </w:rPr>
        <w:tab/>
      </w:r>
      <w:r w:rsidR="00987D44">
        <w:rPr>
          <w:szCs w:val="36"/>
        </w:rPr>
        <w:tab/>
      </w:r>
      <w:r w:rsidR="00987D44">
        <w:rPr>
          <w:szCs w:val="36"/>
        </w:rPr>
        <w:tab/>
        <w:t>10</w:t>
      </w:r>
    </w:p>
    <w:bookmarkEnd w:id="3"/>
    <w:p w:rsidR="00AE73FF" w:rsidRDefault="00AE73FF" w:rsidP="00AE73FF">
      <w:pPr>
        <w:pStyle w:val="In-pageheading"/>
        <w:rPr>
          <w:szCs w:val="36"/>
        </w:rPr>
      </w:pPr>
    </w:p>
    <w:bookmarkStart w:id="4" w:name="Content6"/>
    <w:p w:rsidR="00AE73FF" w:rsidRDefault="00231954" w:rsidP="00AE73FF">
      <w:pPr>
        <w:pStyle w:val="In-pageheading"/>
        <w:numPr>
          <w:ilvl w:val="1"/>
          <w:numId w:val="15"/>
        </w:numPr>
        <w:rPr>
          <w:szCs w:val="36"/>
        </w:rPr>
      </w:pPr>
      <w:r>
        <w:fldChar w:fldCharType="begin"/>
      </w:r>
      <w:r w:rsidR="0023515E">
        <w:instrText>HYPERLINK  \l "plananddo" \o "page 11"</w:instrText>
      </w:r>
      <w:r>
        <w:fldChar w:fldCharType="separate"/>
      </w:r>
      <w:r w:rsidR="00AE73FF">
        <w:rPr>
          <w:rStyle w:val="Hyperlink"/>
          <w:szCs w:val="36"/>
        </w:rPr>
        <w:t>Plan and Do</w:t>
      </w:r>
      <w:r>
        <w:fldChar w:fldCharType="end"/>
      </w:r>
      <w:r w:rsidR="00987D44">
        <w:rPr>
          <w:szCs w:val="36"/>
        </w:rPr>
        <w:t xml:space="preserve"> </w:t>
      </w:r>
      <w:r w:rsidR="00987D44">
        <w:rPr>
          <w:szCs w:val="36"/>
        </w:rPr>
        <w:tab/>
      </w:r>
      <w:r w:rsidR="00987D44">
        <w:rPr>
          <w:szCs w:val="36"/>
        </w:rPr>
        <w:tab/>
      </w:r>
      <w:r w:rsidR="00987D44">
        <w:rPr>
          <w:szCs w:val="36"/>
        </w:rPr>
        <w:tab/>
      </w:r>
      <w:r w:rsidR="00987D44">
        <w:rPr>
          <w:szCs w:val="36"/>
        </w:rPr>
        <w:tab/>
      </w:r>
      <w:r w:rsidR="00987D44">
        <w:rPr>
          <w:szCs w:val="36"/>
        </w:rPr>
        <w:tab/>
      </w:r>
      <w:r w:rsidR="00987D44">
        <w:rPr>
          <w:szCs w:val="36"/>
        </w:rPr>
        <w:tab/>
      </w:r>
      <w:r w:rsidR="00987D44">
        <w:rPr>
          <w:szCs w:val="36"/>
        </w:rPr>
        <w:tab/>
      </w:r>
      <w:r w:rsidR="00987D44">
        <w:rPr>
          <w:szCs w:val="36"/>
        </w:rPr>
        <w:tab/>
        <w:t>1</w:t>
      </w:r>
      <w:r w:rsidR="00EB545E">
        <w:rPr>
          <w:szCs w:val="36"/>
        </w:rPr>
        <w:t>2</w:t>
      </w:r>
    </w:p>
    <w:bookmarkEnd w:id="4"/>
    <w:p w:rsidR="00AE73FF" w:rsidRDefault="00AE73FF" w:rsidP="00AE73FF">
      <w:pPr>
        <w:pStyle w:val="In-pageheading"/>
        <w:rPr>
          <w:szCs w:val="36"/>
        </w:rPr>
      </w:pPr>
    </w:p>
    <w:bookmarkStart w:id="5" w:name="Content7"/>
    <w:p w:rsidR="00AE73FF" w:rsidRDefault="00231954" w:rsidP="00AE73FF">
      <w:pPr>
        <w:pStyle w:val="In-pageheading"/>
        <w:numPr>
          <w:ilvl w:val="1"/>
          <w:numId w:val="15"/>
        </w:numPr>
        <w:rPr>
          <w:szCs w:val="36"/>
        </w:rPr>
      </w:pPr>
      <w:r>
        <w:fldChar w:fldCharType="begin"/>
      </w:r>
      <w:r w:rsidR="0023515E">
        <w:instrText>HYPERLINK  \l "review" \o "page 14"</w:instrText>
      </w:r>
      <w:r>
        <w:fldChar w:fldCharType="separate"/>
      </w:r>
      <w:r w:rsidR="0023515E">
        <w:rPr>
          <w:rStyle w:val="Hyperlink"/>
          <w:szCs w:val="36"/>
        </w:rPr>
        <w:t>Review</w:t>
      </w:r>
      <w:r>
        <w:fldChar w:fldCharType="end"/>
      </w:r>
      <w:r w:rsidR="00987D44">
        <w:rPr>
          <w:szCs w:val="36"/>
        </w:rPr>
        <w:tab/>
      </w:r>
      <w:r w:rsidR="00987D44">
        <w:rPr>
          <w:szCs w:val="36"/>
        </w:rPr>
        <w:tab/>
      </w:r>
      <w:r w:rsidR="00987D44">
        <w:rPr>
          <w:szCs w:val="36"/>
        </w:rPr>
        <w:tab/>
      </w:r>
      <w:r w:rsidR="00987D44">
        <w:rPr>
          <w:szCs w:val="36"/>
        </w:rPr>
        <w:tab/>
      </w:r>
      <w:r w:rsidR="00987D44">
        <w:rPr>
          <w:szCs w:val="36"/>
        </w:rPr>
        <w:tab/>
      </w:r>
      <w:r w:rsidR="00987D44">
        <w:rPr>
          <w:szCs w:val="36"/>
        </w:rPr>
        <w:tab/>
      </w:r>
      <w:r w:rsidR="00987D44">
        <w:rPr>
          <w:szCs w:val="36"/>
        </w:rPr>
        <w:tab/>
      </w:r>
      <w:r w:rsidR="00987D44">
        <w:rPr>
          <w:szCs w:val="36"/>
        </w:rPr>
        <w:tab/>
      </w:r>
      <w:r w:rsidR="00987D44">
        <w:rPr>
          <w:szCs w:val="36"/>
        </w:rPr>
        <w:tab/>
        <w:t>1</w:t>
      </w:r>
      <w:r w:rsidR="00EB545E">
        <w:rPr>
          <w:szCs w:val="36"/>
        </w:rPr>
        <w:t>5</w:t>
      </w:r>
    </w:p>
    <w:bookmarkEnd w:id="5"/>
    <w:p w:rsidR="00AE73FF" w:rsidRDefault="00AE73FF" w:rsidP="00AE73FF">
      <w:pPr>
        <w:pStyle w:val="HeaderTitle0"/>
        <w:rPr>
          <w:b/>
          <w:sz w:val="36"/>
          <w:szCs w:val="36"/>
        </w:rPr>
      </w:pPr>
    </w:p>
    <w:bookmarkStart w:id="6" w:name="Content8"/>
    <w:p w:rsidR="00AE73FF" w:rsidRPr="0023515E" w:rsidRDefault="00231954" w:rsidP="00AE73FF">
      <w:pPr>
        <w:pStyle w:val="HeaderTitle0"/>
        <w:rPr>
          <w:rStyle w:val="Hyperlink"/>
        </w:rPr>
      </w:pPr>
      <w:r>
        <w:rPr>
          <w:b/>
          <w:sz w:val="36"/>
          <w:szCs w:val="36"/>
        </w:rPr>
        <w:fldChar w:fldCharType="begin"/>
      </w:r>
      <w:r w:rsidR="0023515E">
        <w:rPr>
          <w:b/>
          <w:sz w:val="36"/>
          <w:szCs w:val="36"/>
        </w:rPr>
        <w:instrText xml:space="preserve"> HYPERLINK  \l "requestinganehcneedsassessment" \o "page 16" </w:instrText>
      </w:r>
      <w:r>
        <w:rPr>
          <w:b/>
          <w:sz w:val="36"/>
          <w:szCs w:val="36"/>
        </w:rPr>
        <w:fldChar w:fldCharType="separate"/>
      </w:r>
      <w:r w:rsidR="00AE73FF" w:rsidRPr="0023515E">
        <w:rPr>
          <w:rStyle w:val="Hyperlink"/>
          <w:b/>
          <w:sz w:val="36"/>
          <w:szCs w:val="36"/>
        </w:rPr>
        <w:t xml:space="preserve">Requesting an Education, Health and Care (EHC) needs          </w:t>
      </w:r>
    </w:p>
    <w:p w:rsidR="00AE73FF" w:rsidRDefault="00AE73FF" w:rsidP="00AE73FF">
      <w:pPr>
        <w:pStyle w:val="HeaderTitle0"/>
      </w:pPr>
      <w:r w:rsidRPr="0023515E">
        <w:rPr>
          <w:rStyle w:val="Hyperlink"/>
          <w:b/>
          <w:sz w:val="36"/>
          <w:szCs w:val="36"/>
        </w:rPr>
        <w:t>assessment</w:t>
      </w:r>
      <w:r w:rsidR="00231954">
        <w:rPr>
          <w:b/>
          <w:sz w:val="36"/>
          <w:szCs w:val="36"/>
        </w:rPr>
        <w:fldChar w:fldCharType="end"/>
      </w:r>
      <w:r>
        <w:rPr>
          <w:b/>
          <w:sz w:val="36"/>
          <w:szCs w:val="36"/>
        </w:rPr>
        <w:tab/>
      </w:r>
      <w:r>
        <w:rPr>
          <w:b/>
          <w:sz w:val="36"/>
          <w:szCs w:val="36"/>
        </w:rPr>
        <w:tab/>
        <w:t>1</w:t>
      </w:r>
      <w:r w:rsidR="00EB545E">
        <w:rPr>
          <w:b/>
          <w:sz w:val="36"/>
          <w:szCs w:val="36"/>
        </w:rPr>
        <w:t>7</w:t>
      </w:r>
    </w:p>
    <w:bookmarkEnd w:id="6"/>
    <w:p w:rsidR="00AE73FF" w:rsidRDefault="00AE73FF" w:rsidP="00AE73FF">
      <w:pPr>
        <w:pStyle w:val="HeaderTitle0"/>
        <w:rPr>
          <w:b/>
          <w:sz w:val="36"/>
          <w:szCs w:val="36"/>
        </w:rPr>
      </w:pPr>
    </w:p>
    <w:bookmarkStart w:id="7" w:name="Content9"/>
    <w:p w:rsidR="00AE73FF" w:rsidRDefault="00231954" w:rsidP="00AE73FF">
      <w:pPr>
        <w:pStyle w:val="HeaderTitle0"/>
        <w:rPr>
          <w:b/>
          <w:sz w:val="36"/>
          <w:szCs w:val="36"/>
        </w:rPr>
      </w:pPr>
      <w:r>
        <w:fldChar w:fldCharType="begin"/>
      </w:r>
      <w:r w:rsidR="0023515E">
        <w:instrText>HYPERLINK  \l "annualreviews" \o "page 18"</w:instrText>
      </w:r>
      <w:r>
        <w:fldChar w:fldCharType="separate"/>
      </w:r>
      <w:r w:rsidR="00AE73FF">
        <w:rPr>
          <w:rStyle w:val="Hyperlink"/>
          <w:b/>
          <w:sz w:val="36"/>
          <w:szCs w:val="36"/>
        </w:rPr>
        <w:t>Annual reviews</w:t>
      </w:r>
      <w:r>
        <w:fldChar w:fldCharType="end"/>
      </w:r>
      <w:r w:rsidR="00EB545E">
        <w:rPr>
          <w:b/>
          <w:sz w:val="36"/>
          <w:szCs w:val="36"/>
        </w:rPr>
        <w:tab/>
      </w:r>
      <w:r w:rsidR="00EB545E">
        <w:rPr>
          <w:b/>
          <w:sz w:val="36"/>
          <w:szCs w:val="36"/>
        </w:rPr>
        <w:tab/>
        <w:t>19</w:t>
      </w:r>
    </w:p>
    <w:bookmarkEnd w:id="7"/>
    <w:p w:rsidR="00AE73FF" w:rsidRDefault="00AE73FF" w:rsidP="00AE73FF">
      <w:pPr>
        <w:pStyle w:val="HeaderTitle0"/>
        <w:rPr>
          <w:b/>
          <w:sz w:val="36"/>
          <w:szCs w:val="36"/>
        </w:rPr>
      </w:pPr>
    </w:p>
    <w:p w:rsidR="00AE73FF" w:rsidRDefault="00231954" w:rsidP="00AE73FF">
      <w:pPr>
        <w:pStyle w:val="HeaderTitle0"/>
        <w:rPr>
          <w:b/>
          <w:sz w:val="36"/>
          <w:szCs w:val="36"/>
        </w:rPr>
      </w:pPr>
      <w:hyperlink w:anchor="In_App_a" w:tooltip="page 19" w:history="1">
        <w:r w:rsidR="00AE73FF">
          <w:rPr>
            <w:rStyle w:val="Hyperlink"/>
            <w:b/>
            <w:sz w:val="36"/>
            <w:szCs w:val="36"/>
          </w:rPr>
          <w:t>Appendix a:  Assessments</w:t>
        </w:r>
      </w:hyperlink>
      <w:r w:rsidR="00987D44">
        <w:rPr>
          <w:b/>
          <w:sz w:val="36"/>
          <w:szCs w:val="36"/>
        </w:rPr>
        <w:tab/>
      </w:r>
      <w:r w:rsidR="00987D44">
        <w:rPr>
          <w:b/>
          <w:sz w:val="36"/>
          <w:szCs w:val="36"/>
        </w:rPr>
        <w:tab/>
      </w:r>
      <w:r w:rsidR="00EB545E">
        <w:rPr>
          <w:b/>
          <w:sz w:val="36"/>
          <w:szCs w:val="36"/>
        </w:rPr>
        <w:t>20</w:t>
      </w:r>
      <w:r w:rsidR="00AE73FF">
        <w:rPr>
          <w:b/>
          <w:sz w:val="36"/>
          <w:szCs w:val="36"/>
        </w:rPr>
        <w:tab/>
      </w:r>
    </w:p>
    <w:p w:rsidR="00AE73FF" w:rsidRDefault="00AE73FF" w:rsidP="00AE73FF">
      <w:pPr>
        <w:pStyle w:val="HeaderTitle0"/>
        <w:rPr>
          <w:b/>
          <w:sz w:val="36"/>
          <w:szCs w:val="36"/>
        </w:rPr>
      </w:pPr>
    </w:p>
    <w:p w:rsidR="00AE73FF" w:rsidRDefault="00231954" w:rsidP="00AE73FF">
      <w:pPr>
        <w:pStyle w:val="HeaderTitle0"/>
        <w:rPr>
          <w:b/>
          <w:sz w:val="36"/>
          <w:szCs w:val="36"/>
        </w:rPr>
      </w:pPr>
      <w:hyperlink w:anchor="In_App_b" w:tooltip="page 22" w:history="1">
        <w:r w:rsidR="00AE73FF">
          <w:rPr>
            <w:rStyle w:val="Hyperlink"/>
            <w:b/>
            <w:sz w:val="36"/>
            <w:szCs w:val="36"/>
          </w:rPr>
          <w:t>Appendix b: My Plan (EHC plan) process</w:t>
        </w:r>
      </w:hyperlink>
      <w:r w:rsidR="00987D44">
        <w:rPr>
          <w:b/>
          <w:sz w:val="36"/>
          <w:szCs w:val="36"/>
        </w:rPr>
        <w:tab/>
        <w:t>2</w:t>
      </w:r>
      <w:r w:rsidR="00EB545E">
        <w:rPr>
          <w:b/>
          <w:sz w:val="36"/>
          <w:szCs w:val="36"/>
        </w:rPr>
        <w:t>2</w:t>
      </w:r>
    </w:p>
    <w:p w:rsidR="00AE73FF" w:rsidRDefault="00AE73FF" w:rsidP="00AE73FF">
      <w:pPr>
        <w:pStyle w:val="HeaderTitle0"/>
        <w:rPr>
          <w:b/>
          <w:sz w:val="36"/>
          <w:szCs w:val="36"/>
        </w:rPr>
      </w:pPr>
    </w:p>
    <w:p w:rsidR="0098178F" w:rsidRDefault="0098178F">
      <w:pPr>
        <w:spacing w:after="200" w:line="276" w:lineRule="auto"/>
        <w:ind w:left="0" w:right="0"/>
        <w:rPr>
          <w:b/>
          <w:sz w:val="36"/>
        </w:rPr>
      </w:pPr>
      <w:r>
        <w:br w:type="page"/>
      </w:r>
    </w:p>
    <w:p w:rsidR="00A21446" w:rsidRDefault="00AD506A" w:rsidP="00D72586">
      <w:pPr>
        <w:pStyle w:val="In-pageheading"/>
        <w:ind w:left="0"/>
      </w:pPr>
      <w:r>
        <w:lastRenderedPageBreak/>
        <w:t>W</w:t>
      </w:r>
      <w:r w:rsidR="00765129">
        <w:t xml:space="preserve">iltshire </w:t>
      </w:r>
      <w:r w:rsidR="00B945A9">
        <w:t>Graduated Response to SEND Support</w:t>
      </w:r>
    </w:p>
    <w:p w:rsidR="00AD506A" w:rsidRDefault="00AD506A" w:rsidP="00654B7F">
      <w:pPr>
        <w:pStyle w:val="In-pageheading"/>
        <w:jc w:val="right"/>
      </w:pPr>
    </w:p>
    <w:p w:rsidR="00CA4F5C" w:rsidRPr="0041163D" w:rsidRDefault="00F62B7A" w:rsidP="00CA4F5C">
      <w:pPr>
        <w:pStyle w:val="Default"/>
        <w:spacing w:after="240"/>
        <w:rPr>
          <w:rFonts w:asciiTheme="minorHAnsi" w:hAnsiTheme="minorHAnsi"/>
          <w:sz w:val="32"/>
          <w:szCs w:val="32"/>
        </w:rPr>
      </w:pPr>
      <w:r w:rsidRPr="0041163D">
        <w:rPr>
          <w:rFonts w:asciiTheme="minorHAnsi" w:hAnsiTheme="minorHAnsi"/>
          <w:sz w:val="32"/>
          <w:szCs w:val="32"/>
        </w:rPr>
        <w:t xml:space="preserve">The </w:t>
      </w:r>
      <w:r w:rsidR="00D72586">
        <w:rPr>
          <w:rFonts w:asciiTheme="minorHAnsi" w:hAnsiTheme="minorHAnsi"/>
          <w:sz w:val="32"/>
          <w:szCs w:val="32"/>
        </w:rPr>
        <w:t xml:space="preserve">Early Years </w:t>
      </w:r>
      <w:r w:rsidRPr="0041163D">
        <w:rPr>
          <w:rFonts w:asciiTheme="minorHAnsi" w:hAnsiTheme="minorHAnsi"/>
          <w:sz w:val="32"/>
          <w:szCs w:val="32"/>
        </w:rPr>
        <w:t xml:space="preserve">Wiltshire </w:t>
      </w:r>
      <w:r w:rsidR="00B945A9" w:rsidRPr="0041163D">
        <w:rPr>
          <w:rFonts w:asciiTheme="minorHAnsi" w:hAnsiTheme="minorHAnsi"/>
          <w:sz w:val="32"/>
          <w:szCs w:val="32"/>
        </w:rPr>
        <w:t>Graduated Response to SEND Support</w:t>
      </w:r>
      <w:r w:rsidR="00765129" w:rsidRPr="0041163D">
        <w:rPr>
          <w:rFonts w:asciiTheme="minorHAnsi" w:hAnsiTheme="minorHAnsi"/>
          <w:sz w:val="32"/>
          <w:szCs w:val="32"/>
        </w:rPr>
        <w:t xml:space="preserve"> </w:t>
      </w:r>
      <w:r w:rsidR="0023139C" w:rsidRPr="0041163D">
        <w:rPr>
          <w:rFonts w:asciiTheme="minorHAnsi" w:hAnsiTheme="minorHAnsi"/>
          <w:sz w:val="32"/>
          <w:szCs w:val="32"/>
        </w:rPr>
        <w:t>(</w:t>
      </w:r>
      <w:r w:rsidR="00D72586">
        <w:rPr>
          <w:rFonts w:asciiTheme="minorHAnsi" w:hAnsiTheme="minorHAnsi"/>
          <w:sz w:val="32"/>
          <w:szCs w:val="32"/>
        </w:rPr>
        <w:t>EY</w:t>
      </w:r>
      <w:r w:rsidR="0023139C" w:rsidRPr="0041163D">
        <w:rPr>
          <w:rFonts w:asciiTheme="minorHAnsi" w:hAnsiTheme="minorHAnsi"/>
          <w:sz w:val="32"/>
          <w:szCs w:val="32"/>
        </w:rPr>
        <w:t xml:space="preserve">GRSS) </w:t>
      </w:r>
      <w:r w:rsidR="00765129" w:rsidRPr="0041163D">
        <w:rPr>
          <w:rFonts w:asciiTheme="minorHAnsi" w:hAnsiTheme="minorHAnsi"/>
          <w:sz w:val="32"/>
          <w:szCs w:val="32"/>
        </w:rPr>
        <w:t>has been written in response to the reforms described in the SEN</w:t>
      </w:r>
      <w:r w:rsidR="0041163D">
        <w:rPr>
          <w:rFonts w:asciiTheme="minorHAnsi" w:hAnsiTheme="minorHAnsi"/>
          <w:sz w:val="32"/>
          <w:szCs w:val="32"/>
        </w:rPr>
        <w:t xml:space="preserve"> and </w:t>
      </w:r>
      <w:r w:rsidR="00765129" w:rsidRPr="0041163D">
        <w:rPr>
          <w:rFonts w:asciiTheme="minorHAnsi" w:hAnsiTheme="minorHAnsi"/>
          <w:sz w:val="32"/>
          <w:szCs w:val="32"/>
        </w:rPr>
        <w:t>D</w:t>
      </w:r>
      <w:r w:rsidR="0041163D">
        <w:rPr>
          <w:rFonts w:asciiTheme="minorHAnsi" w:hAnsiTheme="minorHAnsi"/>
          <w:sz w:val="32"/>
          <w:szCs w:val="32"/>
        </w:rPr>
        <w:t>isability</w:t>
      </w:r>
      <w:r w:rsidR="00765129" w:rsidRPr="0041163D">
        <w:rPr>
          <w:rFonts w:asciiTheme="minorHAnsi" w:hAnsiTheme="minorHAnsi"/>
          <w:sz w:val="32"/>
          <w:szCs w:val="32"/>
        </w:rPr>
        <w:t xml:space="preserve"> Code of</w:t>
      </w:r>
      <w:r w:rsidR="0041163D">
        <w:rPr>
          <w:rFonts w:asciiTheme="minorHAnsi" w:hAnsiTheme="minorHAnsi"/>
          <w:sz w:val="32"/>
          <w:szCs w:val="32"/>
        </w:rPr>
        <w:t xml:space="preserve"> Practice: 0-25 years (January 2015</w:t>
      </w:r>
      <w:r w:rsidR="00765129" w:rsidRPr="0041163D">
        <w:rPr>
          <w:rFonts w:asciiTheme="minorHAnsi" w:hAnsiTheme="minorHAnsi"/>
          <w:sz w:val="32"/>
          <w:szCs w:val="32"/>
        </w:rPr>
        <w:t xml:space="preserve">).  It </w:t>
      </w:r>
      <w:r w:rsidR="00CD6F01" w:rsidRPr="0041163D">
        <w:rPr>
          <w:rFonts w:asciiTheme="minorHAnsi" w:hAnsiTheme="minorHAnsi"/>
          <w:sz w:val="32"/>
          <w:szCs w:val="32"/>
        </w:rPr>
        <w:t>provides structures and</w:t>
      </w:r>
      <w:r w:rsidR="00765129" w:rsidRPr="0041163D">
        <w:rPr>
          <w:rFonts w:asciiTheme="minorHAnsi" w:hAnsiTheme="minorHAnsi"/>
          <w:sz w:val="32"/>
          <w:szCs w:val="32"/>
        </w:rPr>
        <w:t xml:space="preserve"> guidance for </w:t>
      </w:r>
      <w:r w:rsidR="003623A4" w:rsidRPr="0041163D">
        <w:rPr>
          <w:rFonts w:asciiTheme="minorHAnsi" w:hAnsiTheme="minorHAnsi"/>
          <w:sz w:val="32"/>
          <w:szCs w:val="32"/>
        </w:rPr>
        <w:t>E</w:t>
      </w:r>
      <w:r w:rsidR="0041163D" w:rsidRPr="0041163D">
        <w:rPr>
          <w:rFonts w:asciiTheme="minorHAnsi" w:hAnsiTheme="minorHAnsi"/>
          <w:sz w:val="32"/>
          <w:szCs w:val="32"/>
        </w:rPr>
        <w:t xml:space="preserve">arly </w:t>
      </w:r>
      <w:r w:rsidR="003623A4" w:rsidRPr="0041163D">
        <w:rPr>
          <w:rFonts w:asciiTheme="minorHAnsi" w:hAnsiTheme="minorHAnsi"/>
          <w:sz w:val="32"/>
          <w:szCs w:val="32"/>
        </w:rPr>
        <w:t>Y</w:t>
      </w:r>
      <w:r w:rsidR="0041163D" w:rsidRPr="0041163D">
        <w:rPr>
          <w:rFonts w:asciiTheme="minorHAnsi" w:hAnsiTheme="minorHAnsi"/>
          <w:sz w:val="32"/>
          <w:szCs w:val="32"/>
        </w:rPr>
        <w:t>ears</w:t>
      </w:r>
      <w:r w:rsidR="003623A4" w:rsidRPr="0041163D">
        <w:rPr>
          <w:rFonts w:asciiTheme="minorHAnsi" w:hAnsiTheme="minorHAnsi"/>
          <w:sz w:val="32"/>
          <w:szCs w:val="32"/>
        </w:rPr>
        <w:t xml:space="preserve"> setting SENCOs</w:t>
      </w:r>
      <w:r w:rsidR="000607E0" w:rsidRPr="0041163D">
        <w:rPr>
          <w:rFonts w:asciiTheme="minorHAnsi" w:hAnsiTheme="minorHAnsi"/>
          <w:sz w:val="32"/>
          <w:szCs w:val="32"/>
        </w:rPr>
        <w:t>,</w:t>
      </w:r>
      <w:r w:rsidR="003623A4" w:rsidRPr="0041163D">
        <w:rPr>
          <w:rFonts w:asciiTheme="minorHAnsi" w:hAnsiTheme="minorHAnsi"/>
          <w:sz w:val="32"/>
          <w:szCs w:val="32"/>
        </w:rPr>
        <w:t xml:space="preserve"> EY Managers</w:t>
      </w:r>
      <w:r w:rsidR="004216B8" w:rsidRPr="0041163D">
        <w:rPr>
          <w:rFonts w:asciiTheme="minorHAnsi" w:hAnsiTheme="minorHAnsi"/>
          <w:sz w:val="32"/>
          <w:szCs w:val="32"/>
        </w:rPr>
        <w:t xml:space="preserve">, teachers </w:t>
      </w:r>
      <w:r w:rsidR="003623A4" w:rsidRPr="0041163D">
        <w:rPr>
          <w:rFonts w:asciiTheme="minorHAnsi" w:hAnsiTheme="minorHAnsi"/>
          <w:sz w:val="32"/>
          <w:szCs w:val="32"/>
        </w:rPr>
        <w:t xml:space="preserve">and practitioners </w:t>
      </w:r>
      <w:r w:rsidR="00765129" w:rsidRPr="0041163D">
        <w:rPr>
          <w:rFonts w:asciiTheme="minorHAnsi" w:hAnsiTheme="minorHAnsi"/>
          <w:sz w:val="32"/>
          <w:szCs w:val="32"/>
        </w:rPr>
        <w:t>to support them in putting in p</w:t>
      </w:r>
      <w:r w:rsidR="00CB5B38" w:rsidRPr="0041163D">
        <w:rPr>
          <w:rFonts w:asciiTheme="minorHAnsi" w:hAnsiTheme="minorHAnsi"/>
          <w:sz w:val="32"/>
          <w:szCs w:val="32"/>
        </w:rPr>
        <w:t xml:space="preserve">lace appropriate arrangements to meet their obligations in respect to children </w:t>
      </w:r>
      <w:r w:rsidR="0098219A" w:rsidRPr="0041163D">
        <w:rPr>
          <w:rFonts w:asciiTheme="minorHAnsi" w:hAnsiTheme="minorHAnsi"/>
          <w:sz w:val="32"/>
          <w:szCs w:val="32"/>
        </w:rPr>
        <w:t>with special educational needs and disabilities.  It consists of a</w:t>
      </w:r>
      <w:r w:rsidR="002D54BB" w:rsidRPr="0041163D">
        <w:rPr>
          <w:rFonts w:asciiTheme="minorHAnsi" w:hAnsiTheme="minorHAnsi"/>
          <w:sz w:val="32"/>
          <w:szCs w:val="32"/>
        </w:rPr>
        <w:t>n</w:t>
      </w:r>
      <w:r w:rsidR="00133BCB" w:rsidRPr="0041163D">
        <w:rPr>
          <w:rFonts w:asciiTheme="minorHAnsi" w:hAnsiTheme="minorHAnsi"/>
          <w:sz w:val="32"/>
          <w:szCs w:val="32"/>
        </w:rPr>
        <w:t xml:space="preserve"> </w:t>
      </w:r>
      <w:r w:rsidR="00A8646D" w:rsidRPr="0041163D">
        <w:rPr>
          <w:rFonts w:asciiTheme="minorHAnsi" w:hAnsiTheme="minorHAnsi"/>
          <w:sz w:val="32"/>
          <w:szCs w:val="32"/>
        </w:rPr>
        <w:t xml:space="preserve">EY Child </w:t>
      </w:r>
      <w:r w:rsidR="00032CC6" w:rsidRPr="0041163D">
        <w:rPr>
          <w:rFonts w:asciiTheme="minorHAnsi" w:hAnsiTheme="minorHAnsi"/>
          <w:b/>
          <w:sz w:val="32"/>
          <w:szCs w:val="32"/>
        </w:rPr>
        <w:t>p</w:t>
      </w:r>
      <w:r w:rsidR="00133BCB" w:rsidRPr="0041163D">
        <w:rPr>
          <w:rFonts w:asciiTheme="minorHAnsi" w:hAnsiTheme="minorHAnsi"/>
          <w:b/>
          <w:sz w:val="32"/>
          <w:szCs w:val="32"/>
        </w:rPr>
        <w:t>rofile</w:t>
      </w:r>
      <w:r w:rsidR="0098219A" w:rsidRPr="0041163D">
        <w:rPr>
          <w:rFonts w:asciiTheme="minorHAnsi" w:hAnsiTheme="minorHAnsi"/>
          <w:sz w:val="32"/>
          <w:szCs w:val="32"/>
        </w:rPr>
        <w:t xml:space="preserve"> that </w:t>
      </w:r>
      <w:r w:rsidR="00887C32" w:rsidRPr="0041163D">
        <w:rPr>
          <w:rFonts w:asciiTheme="minorHAnsi" w:hAnsiTheme="minorHAnsi"/>
          <w:sz w:val="32"/>
          <w:szCs w:val="32"/>
        </w:rPr>
        <w:t>can be completed to aid the “assess, plan, do</w:t>
      </w:r>
      <w:r w:rsidR="00BD601D" w:rsidRPr="0041163D">
        <w:rPr>
          <w:rFonts w:asciiTheme="minorHAnsi" w:hAnsiTheme="minorHAnsi"/>
          <w:sz w:val="32"/>
          <w:szCs w:val="32"/>
        </w:rPr>
        <w:t>,</w:t>
      </w:r>
      <w:r w:rsidR="00887C32" w:rsidRPr="0041163D">
        <w:rPr>
          <w:rFonts w:asciiTheme="minorHAnsi" w:hAnsiTheme="minorHAnsi"/>
          <w:sz w:val="32"/>
          <w:szCs w:val="32"/>
        </w:rPr>
        <w:t xml:space="preserve"> review” graduated approach outlined in the </w:t>
      </w:r>
      <w:r w:rsidR="00BD601D" w:rsidRPr="0041163D">
        <w:rPr>
          <w:rFonts w:asciiTheme="minorHAnsi" w:hAnsiTheme="minorHAnsi"/>
          <w:sz w:val="32"/>
          <w:szCs w:val="32"/>
        </w:rPr>
        <w:t xml:space="preserve">SEND </w:t>
      </w:r>
      <w:r w:rsidR="00887C32" w:rsidRPr="0041163D">
        <w:rPr>
          <w:rFonts w:asciiTheme="minorHAnsi" w:hAnsiTheme="minorHAnsi"/>
          <w:sz w:val="32"/>
          <w:szCs w:val="32"/>
        </w:rPr>
        <w:t xml:space="preserve">Code of Practice and an associated </w:t>
      </w:r>
      <w:r w:rsidR="00887C32" w:rsidRPr="0041163D">
        <w:rPr>
          <w:rFonts w:asciiTheme="minorHAnsi" w:hAnsiTheme="minorHAnsi"/>
          <w:b/>
          <w:sz w:val="32"/>
          <w:szCs w:val="32"/>
        </w:rPr>
        <w:t>Guidance</w:t>
      </w:r>
      <w:r w:rsidR="00887C32" w:rsidRPr="0041163D">
        <w:rPr>
          <w:rFonts w:asciiTheme="minorHAnsi" w:hAnsiTheme="minorHAnsi"/>
          <w:sz w:val="32"/>
          <w:szCs w:val="32"/>
        </w:rPr>
        <w:t xml:space="preserve"> section.</w:t>
      </w:r>
      <w:r w:rsidRPr="0041163D">
        <w:rPr>
          <w:rFonts w:asciiTheme="minorHAnsi" w:hAnsiTheme="minorHAnsi"/>
          <w:sz w:val="32"/>
          <w:szCs w:val="32"/>
        </w:rPr>
        <w:t xml:space="preserve">  The Wiltshire </w:t>
      </w:r>
      <w:r w:rsidR="00D72586">
        <w:rPr>
          <w:rFonts w:asciiTheme="minorHAnsi" w:hAnsiTheme="minorHAnsi"/>
          <w:sz w:val="32"/>
          <w:szCs w:val="32"/>
        </w:rPr>
        <w:t>EY</w:t>
      </w:r>
      <w:r w:rsidR="0023139C" w:rsidRPr="0041163D">
        <w:rPr>
          <w:rFonts w:asciiTheme="minorHAnsi" w:hAnsiTheme="minorHAnsi"/>
          <w:sz w:val="32"/>
          <w:szCs w:val="32"/>
        </w:rPr>
        <w:t xml:space="preserve">GRSS </w:t>
      </w:r>
      <w:r w:rsidR="00887C32" w:rsidRPr="0041163D">
        <w:rPr>
          <w:rFonts w:asciiTheme="minorHAnsi" w:hAnsiTheme="minorHAnsi"/>
          <w:sz w:val="32"/>
          <w:szCs w:val="32"/>
        </w:rPr>
        <w:t>replaces the Wiltshire Indicators and Provision Document (WIPD).</w:t>
      </w:r>
      <w:r w:rsidR="00CA4F5C" w:rsidRPr="0041163D">
        <w:rPr>
          <w:rFonts w:asciiTheme="minorHAnsi" w:hAnsiTheme="minorHAnsi"/>
          <w:sz w:val="32"/>
          <w:szCs w:val="32"/>
        </w:rPr>
        <w:t xml:space="preserve"> </w:t>
      </w:r>
    </w:p>
    <w:p w:rsidR="00E003F9" w:rsidRDefault="00E003F9" w:rsidP="003E4E93">
      <w:pPr>
        <w:pStyle w:val="Instruction"/>
        <w:ind w:left="0"/>
      </w:pPr>
    </w:p>
    <w:p w:rsidR="0008255D" w:rsidRDefault="0008255D" w:rsidP="007D1A23">
      <w:pPr>
        <w:pStyle w:val="Instruction"/>
      </w:pPr>
    </w:p>
    <w:p w:rsidR="00032CC6" w:rsidRDefault="00032CC6" w:rsidP="003E4E93">
      <w:pPr>
        <w:pStyle w:val="In-pageheading"/>
        <w:ind w:left="0"/>
      </w:pPr>
      <w:bookmarkStart w:id="8" w:name="PP_3_4_IDENT_U_1"/>
      <w:bookmarkStart w:id="9" w:name="Contents1"/>
      <w:bookmarkStart w:id="10" w:name="whatisthestatusofthisdocument"/>
      <w:r>
        <w:t>What is the status of this document?</w:t>
      </w:r>
    </w:p>
    <w:bookmarkEnd w:id="8"/>
    <w:bookmarkEnd w:id="9"/>
    <w:bookmarkEnd w:id="10"/>
    <w:p w:rsidR="00032CC6" w:rsidRDefault="00032CC6" w:rsidP="00032CC6">
      <w:pPr>
        <w:pStyle w:val="Instruction"/>
      </w:pPr>
    </w:p>
    <w:p w:rsidR="00032CC6" w:rsidRDefault="00032CC6" w:rsidP="00D72586">
      <w:pPr>
        <w:pStyle w:val="Instruction"/>
        <w:ind w:left="0"/>
      </w:pPr>
      <w:r>
        <w:t xml:space="preserve">The Wiltshire </w:t>
      </w:r>
      <w:r w:rsidR="00D72586">
        <w:t>EY</w:t>
      </w:r>
      <w:r w:rsidR="0023139C">
        <w:t xml:space="preserve">GRSS </w:t>
      </w:r>
      <w:r>
        <w:t>is a non-statutory document that is based on the statutor</w:t>
      </w:r>
      <w:r w:rsidR="0041163D">
        <w:t>y guidance laid out for schools and</w:t>
      </w:r>
      <w:r>
        <w:t xml:space="preserve"> </w:t>
      </w:r>
      <w:r w:rsidR="00B971B2">
        <w:t>early years</w:t>
      </w:r>
      <w:r w:rsidR="00BB109C">
        <w:t>’</w:t>
      </w:r>
      <w:r w:rsidR="00B971B2">
        <w:t xml:space="preserve"> </w:t>
      </w:r>
      <w:r w:rsidR="00CA4F5C">
        <w:t>settings</w:t>
      </w:r>
      <w:r>
        <w:t xml:space="preserve"> in the </w:t>
      </w:r>
      <w:r w:rsidRPr="00032CC6">
        <w:t>SEND Code of</w:t>
      </w:r>
      <w:r w:rsidR="00BB109C">
        <w:t xml:space="preserve"> Practice: 0-25 years (January 2015</w:t>
      </w:r>
      <w:r w:rsidRPr="00032CC6">
        <w:t>)</w:t>
      </w:r>
      <w:r w:rsidR="00CA4F5C">
        <w:t xml:space="preserve">.  If early </w:t>
      </w:r>
      <w:r w:rsidR="00ED5160">
        <w:t>year</w:t>
      </w:r>
      <w:r w:rsidR="0041163D">
        <w:t>s</w:t>
      </w:r>
      <w:r w:rsidR="00ED5160">
        <w:t>’</w:t>
      </w:r>
      <w:r w:rsidR="00CA4F5C">
        <w:t xml:space="preserve"> setting</w:t>
      </w:r>
      <w:r w:rsidR="0041163D">
        <w:t>s</w:t>
      </w:r>
      <w:r>
        <w:t xml:space="preserve"> choose to use the Wiltshire </w:t>
      </w:r>
      <w:r w:rsidR="0023139C">
        <w:t>GRSS</w:t>
      </w:r>
      <w:r>
        <w:t>, following the processes in the</w:t>
      </w:r>
      <w:r w:rsidR="00CA4F5C">
        <w:t xml:space="preserve"> </w:t>
      </w:r>
      <w:r w:rsidR="00CA4F5C" w:rsidRPr="00CA4F5C">
        <w:rPr>
          <w:b/>
        </w:rPr>
        <w:t>EYFS/</w:t>
      </w:r>
      <w:r>
        <w:t xml:space="preserve"> </w:t>
      </w:r>
      <w:r w:rsidR="00A8646D">
        <w:rPr>
          <w:b/>
        </w:rPr>
        <w:t>EY Child</w:t>
      </w:r>
      <w:r w:rsidRPr="00CA487C">
        <w:rPr>
          <w:b/>
        </w:rPr>
        <w:t xml:space="preserve"> profile</w:t>
      </w:r>
      <w:r>
        <w:t xml:space="preserve"> should ensure they comply with their statutory duties in respect of the graduated approach for individual </w:t>
      </w:r>
      <w:r w:rsidR="0041163D">
        <w:t>child</w:t>
      </w:r>
      <w:r>
        <w:t>.  However,</w:t>
      </w:r>
      <w:r w:rsidR="004F69D1">
        <w:t xml:space="preserve"> </w:t>
      </w:r>
      <w:r w:rsidR="004F69D1" w:rsidRPr="004F69D1">
        <w:rPr>
          <w:u w:val="single"/>
        </w:rPr>
        <w:t>it</w:t>
      </w:r>
      <w:r w:rsidRPr="004F69D1">
        <w:rPr>
          <w:u w:val="single"/>
        </w:rPr>
        <w:t xml:space="preserve"> is not a substitute for reading and understanding the SEND Code of</w:t>
      </w:r>
      <w:r w:rsidR="00BB109C">
        <w:rPr>
          <w:u w:val="single"/>
        </w:rPr>
        <w:t xml:space="preserve"> Practice: 0-25 years (January 2015</w:t>
      </w:r>
      <w:r w:rsidRPr="004F69D1">
        <w:rPr>
          <w:u w:val="single"/>
        </w:rPr>
        <w:t>)</w:t>
      </w:r>
      <w:r w:rsidR="004F69D1" w:rsidRPr="004F69D1">
        <w:t xml:space="preserve"> and its associated documents</w:t>
      </w:r>
      <w:r w:rsidRPr="004F69D1">
        <w:t>.</w:t>
      </w:r>
      <w:r w:rsidR="004F69D1">
        <w:t xml:space="preserve">  There are other statutory duties o</w:t>
      </w:r>
      <w:r w:rsidR="00D72586">
        <w:t>n schools and</w:t>
      </w:r>
      <w:r w:rsidR="00CA4F5C">
        <w:t xml:space="preserve"> </w:t>
      </w:r>
      <w:r w:rsidR="00D72586">
        <w:t xml:space="preserve">settings, </w:t>
      </w:r>
      <w:r w:rsidR="004F69D1">
        <w:t xml:space="preserve">such as the publication of SEND information, that are not covered in detail by the Wiltshire </w:t>
      </w:r>
      <w:r w:rsidR="0023139C">
        <w:t>GRSS</w:t>
      </w:r>
      <w:r w:rsidR="004F69D1">
        <w:t>.</w:t>
      </w:r>
    </w:p>
    <w:p w:rsidR="00032CC6" w:rsidRDefault="00032CC6" w:rsidP="00032CC6">
      <w:pPr>
        <w:pStyle w:val="Instruction"/>
      </w:pPr>
    </w:p>
    <w:p w:rsidR="00032CC6" w:rsidRDefault="00032CC6" w:rsidP="00032CC6">
      <w:pPr>
        <w:pStyle w:val="Instruction"/>
        <w:sectPr w:rsidR="00032CC6" w:rsidSect="002C577C">
          <w:headerReference w:type="default" r:id="rId15"/>
          <w:footerReference w:type="default" r:id="rId16"/>
          <w:pgSz w:w="11906" w:h="16838"/>
          <w:pgMar w:top="1440" w:right="1274" w:bottom="1440" w:left="993" w:header="708" w:footer="0" w:gutter="0"/>
          <w:pgNumType w:start="2"/>
          <w:cols w:space="708"/>
          <w:docGrid w:linePitch="360"/>
        </w:sectPr>
      </w:pPr>
    </w:p>
    <w:p w:rsidR="0054086B" w:rsidRDefault="0054086B" w:rsidP="007D1A23">
      <w:pPr>
        <w:pStyle w:val="In-pageheading"/>
        <w:ind w:right="0"/>
      </w:pPr>
      <w:bookmarkStart w:id="11" w:name="themes"/>
      <w:r>
        <w:lastRenderedPageBreak/>
        <w:t>Themes</w:t>
      </w:r>
      <w:bookmarkEnd w:id="11"/>
      <w:r>
        <w:t xml:space="preserve"> </w:t>
      </w:r>
    </w:p>
    <w:p w:rsidR="00D16B32" w:rsidRDefault="00D16B32" w:rsidP="0054086B">
      <w:pPr>
        <w:ind w:right="141"/>
        <w:rPr>
          <w:sz w:val="24"/>
        </w:rPr>
      </w:pPr>
    </w:p>
    <w:p w:rsidR="0054086B" w:rsidRDefault="0054086B" w:rsidP="0054086B">
      <w:pPr>
        <w:ind w:right="141"/>
        <w:rPr>
          <w:sz w:val="24"/>
        </w:rPr>
      </w:pPr>
      <w:r w:rsidRPr="0054086B">
        <w:rPr>
          <w:sz w:val="24"/>
        </w:rPr>
        <w:t xml:space="preserve">The Wiltshire </w:t>
      </w:r>
      <w:r w:rsidR="00B945A9">
        <w:rPr>
          <w:sz w:val="24"/>
        </w:rPr>
        <w:t>Graduated Response to SEND Support</w:t>
      </w:r>
      <w:r w:rsidRPr="0054086B">
        <w:rPr>
          <w:sz w:val="24"/>
        </w:rPr>
        <w:t xml:space="preserve"> </w:t>
      </w:r>
      <w:r w:rsidR="00D16B32">
        <w:rPr>
          <w:sz w:val="24"/>
        </w:rPr>
        <w:t>reflects the themes and principles that underlie the SEND Code of</w:t>
      </w:r>
      <w:r w:rsidR="007D585A">
        <w:rPr>
          <w:sz w:val="24"/>
        </w:rPr>
        <w:t xml:space="preserve"> Practice: 0-25 years (January 2015</w:t>
      </w:r>
      <w:r w:rsidR="00D16B32">
        <w:rPr>
          <w:sz w:val="24"/>
        </w:rPr>
        <w:t xml:space="preserve">).  Whilst there are many commonalities with the </w:t>
      </w:r>
      <w:r w:rsidR="000A293E">
        <w:rPr>
          <w:sz w:val="24"/>
        </w:rPr>
        <w:t xml:space="preserve">2001 </w:t>
      </w:r>
      <w:r w:rsidR="00D16B32">
        <w:rPr>
          <w:sz w:val="24"/>
        </w:rPr>
        <w:t xml:space="preserve">Code of Practice, there have been </w:t>
      </w:r>
      <w:r w:rsidR="000A293E">
        <w:rPr>
          <w:sz w:val="24"/>
        </w:rPr>
        <w:t xml:space="preserve">key </w:t>
      </w:r>
      <w:r w:rsidR="00D16B32">
        <w:rPr>
          <w:sz w:val="24"/>
        </w:rPr>
        <w:t>changes in the importance placed on certain aspects of working with children</w:t>
      </w:r>
      <w:r w:rsidR="006F2B2D">
        <w:rPr>
          <w:sz w:val="24"/>
        </w:rPr>
        <w:t xml:space="preserve"> and young people with SEN and d</w:t>
      </w:r>
      <w:r w:rsidR="00D16B32">
        <w:rPr>
          <w:sz w:val="24"/>
        </w:rPr>
        <w:t xml:space="preserve">isabilities.  </w:t>
      </w:r>
    </w:p>
    <w:p w:rsidR="00D16B32" w:rsidRDefault="00D16B32" w:rsidP="0054086B">
      <w:pPr>
        <w:ind w:right="141"/>
        <w:rPr>
          <w:sz w:val="24"/>
        </w:rPr>
      </w:pPr>
    </w:p>
    <w:p w:rsidR="00D16B32" w:rsidRPr="0054086B" w:rsidRDefault="00D72586" w:rsidP="009725F9">
      <w:pPr>
        <w:pStyle w:val="Instruction"/>
        <w:numPr>
          <w:ilvl w:val="0"/>
          <w:numId w:val="11"/>
        </w:numPr>
      </w:pPr>
      <w:r>
        <w:t xml:space="preserve">      </w:t>
      </w:r>
      <w:r w:rsidR="00D16B32">
        <w:t>Participation</w:t>
      </w:r>
    </w:p>
    <w:p w:rsidR="0054086B" w:rsidRDefault="00D16B32" w:rsidP="007D1A23">
      <w:pPr>
        <w:pStyle w:val="In-pageheading"/>
        <w:ind w:right="0"/>
        <w:rPr>
          <w:b w:val="0"/>
          <w:sz w:val="24"/>
        </w:rPr>
      </w:pPr>
      <w:r w:rsidRPr="00D16B32">
        <w:rPr>
          <w:b w:val="0"/>
          <w:sz w:val="24"/>
        </w:rPr>
        <w:t>There is clear focus</w:t>
      </w:r>
      <w:r>
        <w:rPr>
          <w:b w:val="0"/>
          <w:sz w:val="24"/>
        </w:rPr>
        <w:t xml:space="preserve"> on involving children and young people directly in discussions about their needs and how they might best be met.  </w:t>
      </w:r>
      <w:r w:rsidR="00C74F22">
        <w:rPr>
          <w:b w:val="0"/>
          <w:sz w:val="24"/>
        </w:rPr>
        <w:t>Parental engagement is given greater importance.</w:t>
      </w:r>
      <w:r w:rsidR="00184537">
        <w:rPr>
          <w:b w:val="0"/>
          <w:sz w:val="24"/>
        </w:rPr>
        <w:t xml:space="preserve">  Participation should begin at the earliest stages of assessment.</w:t>
      </w:r>
      <w:r w:rsidR="0031070B">
        <w:rPr>
          <w:b w:val="0"/>
          <w:sz w:val="24"/>
        </w:rPr>
        <w:t xml:space="preserve">  There will</w:t>
      </w:r>
      <w:r w:rsidR="006F2B2D">
        <w:rPr>
          <w:b w:val="0"/>
          <w:sz w:val="24"/>
        </w:rPr>
        <w:t xml:space="preserve"> also</w:t>
      </w:r>
      <w:r w:rsidR="0031070B">
        <w:rPr>
          <w:b w:val="0"/>
          <w:sz w:val="24"/>
        </w:rPr>
        <w:t xml:space="preserve"> be greater opportunities for </w:t>
      </w:r>
      <w:r w:rsidR="006F2B2D">
        <w:rPr>
          <w:b w:val="0"/>
          <w:sz w:val="24"/>
        </w:rPr>
        <w:t>children, young people and their families to participate in the creation</w:t>
      </w:r>
      <w:r w:rsidR="0031070B">
        <w:rPr>
          <w:b w:val="0"/>
          <w:sz w:val="24"/>
        </w:rPr>
        <w:t xml:space="preserve"> of </w:t>
      </w:r>
      <w:r w:rsidR="006F2B2D">
        <w:rPr>
          <w:b w:val="0"/>
          <w:sz w:val="24"/>
        </w:rPr>
        <w:t xml:space="preserve">an </w:t>
      </w:r>
      <w:r w:rsidR="0031070B">
        <w:rPr>
          <w:b w:val="0"/>
          <w:sz w:val="24"/>
        </w:rPr>
        <w:t xml:space="preserve">Education, Health and Care Plan </w:t>
      </w:r>
      <w:r w:rsidR="006F2B2D">
        <w:rPr>
          <w:b w:val="0"/>
          <w:sz w:val="24"/>
        </w:rPr>
        <w:t>should this be required</w:t>
      </w:r>
      <w:r w:rsidR="0031070B">
        <w:rPr>
          <w:b w:val="0"/>
          <w:sz w:val="24"/>
        </w:rPr>
        <w:t>.</w:t>
      </w:r>
    </w:p>
    <w:p w:rsidR="00C74F22" w:rsidRDefault="00C74F22" w:rsidP="007D1A23">
      <w:pPr>
        <w:pStyle w:val="In-pageheading"/>
        <w:ind w:right="0"/>
        <w:rPr>
          <w:b w:val="0"/>
          <w:sz w:val="24"/>
        </w:rPr>
      </w:pPr>
    </w:p>
    <w:p w:rsidR="00C74F22" w:rsidRDefault="00D72586" w:rsidP="009725F9">
      <w:pPr>
        <w:pStyle w:val="Instruction"/>
        <w:numPr>
          <w:ilvl w:val="0"/>
          <w:numId w:val="11"/>
        </w:numPr>
      </w:pPr>
      <w:r>
        <w:t xml:space="preserve">     </w:t>
      </w:r>
      <w:r w:rsidR="00C74F22">
        <w:t>Communication</w:t>
      </w:r>
    </w:p>
    <w:p w:rsidR="00C74F22" w:rsidRDefault="00C74F22" w:rsidP="00C74F22">
      <w:pPr>
        <w:ind w:right="141"/>
        <w:rPr>
          <w:sz w:val="24"/>
          <w:szCs w:val="24"/>
        </w:rPr>
      </w:pPr>
      <w:r>
        <w:rPr>
          <w:sz w:val="24"/>
          <w:szCs w:val="24"/>
        </w:rPr>
        <w:t>S</w:t>
      </w:r>
      <w:r w:rsidRPr="00204AE2">
        <w:rPr>
          <w:sz w:val="24"/>
          <w:szCs w:val="24"/>
        </w:rPr>
        <w:t>chools</w:t>
      </w:r>
      <w:r w:rsidR="005007F4">
        <w:rPr>
          <w:sz w:val="24"/>
          <w:szCs w:val="24"/>
        </w:rPr>
        <w:t xml:space="preserve"> (including Academies) and maintained nursery schools </w:t>
      </w:r>
      <w:r w:rsidRPr="00204AE2">
        <w:rPr>
          <w:sz w:val="24"/>
          <w:szCs w:val="24"/>
        </w:rPr>
        <w:t xml:space="preserve">are required to publish, under the </w:t>
      </w:r>
      <w:r w:rsidRPr="00204AE2">
        <w:rPr>
          <w:i/>
          <w:iCs/>
          <w:sz w:val="24"/>
          <w:szCs w:val="24"/>
        </w:rPr>
        <w:t>Special Educational Needs (Information) Regulations</w:t>
      </w:r>
      <w:r w:rsidR="005007F4">
        <w:rPr>
          <w:i/>
          <w:iCs/>
          <w:sz w:val="24"/>
          <w:szCs w:val="24"/>
        </w:rPr>
        <w:t xml:space="preserve"> [Clause 65]</w:t>
      </w:r>
      <w:r w:rsidRPr="00204AE2">
        <w:rPr>
          <w:i/>
          <w:iCs/>
          <w:sz w:val="24"/>
          <w:szCs w:val="24"/>
        </w:rPr>
        <w:t xml:space="preserve">, </w:t>
      </w:r>
      <w:r w:rsidRPr="00204AE2">
        <w:rPr>
          <w:sz w:val="24"/>
          <w:szCs w:val="24"/>
        </w:rPr>
        <w:t xml:space="preserve">detailed information about their arrangements for identifying, assessing and making provision for </w:t>
      </w:r>
      <w:r w:rsidR="00D72586">
        <w:rPr>
          <w:sz w:val="24"/>
          <w:szCs w:val="24"/>
        </w:rPr>
        <w:t>children</w:t>
      </w:r>
      <w:r>
        <w:rPr>
          <w:sz w:val="24"/>
          <w:szCs w:val="24"/>
        </w:rPr>
        <w:t xml:space="preserve"> </w:t>
      </w:r>
      <w:r w:rsidRPr="00204AE2">
        <w:rPr>
          <w:sz w:val="24"/>
          <w:szCs w:val="24"/>
        </w:rPr>
        <w:t xml:space="preserve">with SEN; this school-specific information should </w:t>
      </w:r>
      <w:r w:rsidR="006F2B2D">
        <w:rPr>
          <w:sz w:val="24"/>
          <w:szCs w:val="24"/>
        </w:rPr>
        <w:t xml:space="preserve">link to </w:t>
      </w:r>
      <w:hyperlink r:id="rId17" w:history="1">
        <w:r w:rsidR="006F2B2D" w:rsidRPr="006F2B2D">
          <w:rPr>
            <w:rStyle w:val="Hyperlink"/>
            <w:sz w:val="24"/>
          </w:rPr>
          <w:t>Wiltshire’s Local Offer</w:t>
        </w:r>
      </w:hyperlink>
      <w:r w:rsidR="006F2B2D">
        <w:t xml:space="preserve"> </w:t>
      </w:r>
      <w:r w:rsidRPr="00204AE2">
        <w:rPr>
          <w:sz w:val="24"/>
          <w:szCs w:val="24"/>
        </w:rPr>
        <w:t xml:space="preserve">and elaborate on it. </w:t>
      </w:r>
      <w:r w:rsidR="005007F4">
        <w:rPr>
          <w:sz w:val="24"/>
          <w:szCs w:val="24"/>
        </w:rPr>
        <w:t xml:space="preserve"> Further information can be found </w:t>
      </w:r>
      <w:hyperlink r:id="rId18" w:history="1">
        <w:r w:rsidR="005007F4" w:rsidRPr="005007F4">
          <w:rPr>
            <w:rStyle w:val="Hyperlink"/>
            <w:sz w:val="24"/>
            <w:szCs w:val="24"/>
          </w:rPr>
          <w:t>here</w:t>
        </w:r>
      </w:hyperlink>
      <w:r w:rsidR="005007F4">
        <w:rPr>
          <w:sz w:val="24"/>
          <w:szCs w:val="24"/>
        </w:rPr>
        <w:t>.</w:t>
      </w:r>
    </w:p>
    <w:p w:rsidR="00C74F22" w:rsidRDefault="00C74F22" w:rsidP="00C74F22">
      <w:pPr>
        <w:ind w:right="141"/>
        <w:rPr>
          <w:sz w:val="24"/>
          <w:szCs w:val="24"/>
        </w:rPr>
      </w:pPr>
    </w:p>
    <w:p w:rsidR="00C74F22" w:rsidRDefault="00184537" w:rsidP="00C74F22">
      <w:pPr>
        <w:ind w:right="141"/>
        <w:rPr>
          <w:sz w:val="24"/>
          <w:szCs w:val="24"/>
        </w:rPr>
      </w:pPr>
      <w:r>
        <w:rPr>
          <w:sz w:val="24"/>
          <w:szCs w:val="24"/>
        </w:rPr>
        <w:t>T</w:t>
      </w:r>
      <w:r w:rsidR="00C74F22">
        <w:rPr>
          <w:sz w:val="24"/>
          <w:szCs w:val="24"/>
        </w:rPr>
        <w:t>here is an expectation of regular</w:t>
      </w:r>
      <w:r w:rsidR="00834988">
        <w:rPr>
          <w:sz w:val="24"/>
          <w:szCs w:val="24"/>
        </w:rPr>
        <w:t xml:space="preserve"> communication and reviews with </w:t>
      </w:r>
      <w:r w:rsidR="00E51F57">
        <w:rPr>
          <w:sz w:val="24"/>
          <w:szCs w:val="24"/>
        </w:rPr>
        <w:t>children</w:t>
      </w:r>
      <w:r w:rsidR="00C74F22">
        <w:rPr>
          <w:sz w:val="24"/>
          <w:szCs w:val="24"/>
        </w:rPr>
        <w:t xml:space="preserve"> </w:t>
      </w:r>
      <w:r w:rsidR="00834988">
        <w:rPr>
          <w:sz w:val="24"/>
          <w:szCs w:val="24"/>
        </w:rPr>
        <w:t xml:space="preserve">and their families </w:t>
      </w:r>
      <w:r>
        <w:rPr>
          <w:sz w:val="24"/>
          <w:szCs w:val="24"/>
        </w:rPr>
        <w:t>to share information, discuss</w:t>
      </w:r>
      <w:r w:rsidR="00C74F22">
        <w:rPr>
          <w:sz w:val="24"/>
          <w:szCs w:val="24"/>
        </w:rPr>
        <w:t xml:space="preserve"> progress and the impact of </w:t>
      </w:r>
      <w:r w:rsidR="00834988">
        <w:rPr>
          <w:sz w:val="24"/>
          <w:szCs w:val="24"/>
        </w:rPr>
        <w:t>interventions.</w:t>
      </w:r>
    </w:p>
    <w:p w:rsidR="00834988" w:rsidRDefault="00834988" w:rsidP="00C74F22">
      <w:pPr>
        <w:ind w:right="141"/>
        <w:rPr>
          <w:sz w:val="24"/>
          <w:szCs w:val="24"/>
        </w:rPr>
      </w:pPr>
    </w:p>
    <w:p w:rsidR="00834988" w:rsidRDefault="00D72586" w:rsidP="00D72586">
      <w:pPr>
        <w:pStyle w:val="Instruction"/>
        <w:numPr>
          <w:ilvl w:val="0"/>
          <w:numId w:val="11"/>
        </w:numPr>
      </w:pPr>
      <w:r>
        <w:t xml:space="preserve">     </w:t>
      </w:r>
      <w:r w:rsidR="00B971B2">
        <w:t>O</w:t>
      </w:r>
      <w:r w:rsidR="00834988">
        <w:t>utcomes</w:t>
      </w:r>
    </w:p>
    <w:p w:rsidR="00834988" w:rsidRDefault="00834988" w:rsidP="00C74F22">
      <w:pPr>
        <w:ind w:right="141"/>
        <w:rPr>
          <w:sz w:val="24"/>
          <w:szCs w:val="24"/>
        </w:rPr>
      </w:pPr>
      <w:r>
        <w:rPr>
          <w:sz w:val="24"/>
          <w:szCs w:val="24"/>
        </w:rPr>
        <w:t xml:space="preserve">Children and young people should be supported to achieve the best outcomes, educational or otherwise.  The </w:t>
      </w:r>
      <w:r w:rsidRPr="00834988">
        <w:rPr>
          <w:sz w:val="24"/>
          <w:szCs w:val="24"/>
        </w:rPr>
        <w:t>SEND Code of</w:t>
      </w:r>
      <w:r w:rsidR="00E51F57">
        <w:rPr>
          <w:sz w:val="24"/>
          <w:szCs w:val="24"/>
        </w:rPr>
        <w:t xml:space="preserve"> Practice: 0-25 years (January 2015</w:t>
      </w:r>
      <w:r w:rsidRPr="00834988">
        <w:rPr>
          <w:sz w:val="24"/>
          <w:szCs w:val="24"/>
        </w:rPr>
        <w:t>)</w:t>
      </w:r>
      <w:r>
        <w:rPr>
          <w:sz w:val="24"/>
          <w:szCs w:val="24"/>
        </w:rPr>
        <w:t xml:space="preserve"> de</w:t>
      </w:r>
      <w:r w:rsidR="00766A80">
        <w:rPr>
          <w:sz w:val="24"/>
          <w:szCs w:val="24"/>
        </w:rPr>
        <w:t>fines an outcome</w:t>
      </w:r>
      <w:r>
        <w:rPr>
          <w:sz w:val="24"/>
          <w:szCs w:val="24"/>
        </w:rPr>
        <w:t xml:space="preserve"> as </w:t>
      </w:r>
      <w:r w:rsidR="00766A80" w:rsidRPr="00766A80">
        <w:rPr>
          <w:sz w:val="24"/>
          <w:szCs w:val="24"/>
        </w:rPr>
        <w:t>"the benefit or difference made to an individual</w:t>
      </w:r>
      <w:r w:rsidR="000A293E">
        <w:rPr>
          <w:sz w:val="24"/>
          <w:szCs w:val="24"/>
        </w:rPr>
        <w:t xml:space="preserve"> as a result of an intervention</w:t>
      </w:r>
      <w:r w:rsidR="00766A80" w:rsidRPr="00766A80">
        <w:rPr>
          <w:sz w:val="24"/>
          <w:szCs w:val="24"/>
        </w:rPr>
        <w:t xml:space="preserve">" </w:t>
      </w:r>
      <w:r w:rsidR="005007F4">
        <w:rPr>
          <w:sz w:val="24"/>
          <w:szCs w:val="24"/>
        </w:rPr>
        <w:t>(</w:t>
      </w:r>
      <w:r w:rsidR="00766A80" w:rsidRPr="00766A80">
        <w:rPr>
          <w:sz w:val="24"/>
          <w:szCs w:val="24"/>
        </w:rPr>
        <w:t>9.66</w:t>
      </w:r>
      <w:r w:rsidR="00766A80">
        <w:rPr>
          <w:sz w:val="24"/>
          <w:szCs w:val="24"/>
        </w:rPr>
        <w:t>; p.152</w:t>
      </w:r>
      <w:r w:rsidR="005007F4">
        <w:rPr>
          <w:sz w:val="24"/>
          <w:szCs w:val="24"/>
        </w:rPr>
        <w:t>)</w:t>
      </w:r>
      <w:r w:rsidR="00766A80">
        <w:rPr>
          <w:sz w:val="24"/>
          <w:szCs w:val="24"/>
        </w:rPr>
        <w:t>.  Educational settin</w:t>
      </w:r>
      <w:r w:rsidR="00E51F57">
        <w:rPr>
          <w:sz w:val="24"/>
          <w:szCs w:val="24"/>
        </w:rPr>
        <w:t>gs, in collaboration with children</w:t>
      </w:r>
      <w:r w:rsidR="00766A80">
        <w:rPr>
          <w:sz w:val="24"/>
          <w:szCs w:val="24"/>
        </w:rPr>
        <w:t xml:space="preserve"> and their families, should </w:t>
      </w:r>
      <w:r w:rsidR="006F2B2D">
        <w:rPr>
          <w:sz w:val="24"/>
          <w:szCs w:val="24"/>
        </w:rPr>
        <w:t>decide which</w:t>
      </w:r>
      <w:r w:rsidR="00766A80">
        <w:rPr>
          <w:sz w:val="24"/>
          <w:szCs w:val="24"/>
        </w:rPr>
        <w:t xml:space="preserve"> outcomes</w:t>
      </w:r>
      <w:r w:rsidR="006F2B2D">
        <w:rPr>
          <w:sz w:val="24"/>
          <w:szCs w:val="24"/>
        </w:rPr>
        <w:t xml:space="preserve"> are desired</w:t>
      </w:r>
      <w:r w:rsidR="00766A80">
        <w:rPr>
          <w:sz w:val="24"/>
          <w:szCs w:val="24"/>
        </w:rPr>
        <w:t xml:space="preserve"> </w:t>
      </w:r>
      <w:r w:rsidR="00766A80" w:rsidRPr="00766A80">
        <w:rPr>
          <w:i/>
          <w:sz w:val="24"/>
          <w:szCs w:val="24"/>
        </w:rPr>
        <w:t>first</w:t>
      </w:r>
      <w:r w:rsidR="00766A80">
        <w:rPr>
          <w:sz w:val="24"/>
          <w:szCs w:val="24"/>
        </w:rPr>
        <w:t xml:space="preserve"> and then identify inte</w:t>
      </w:r>
      <w:r w:rsidR="006F2B2D">
        <w:rPr>
          <w:sz w:val="24"/>
          <w:szCs w:val="24"/>
        </w:rPr>
        <w:t>rventions that will support these</w:t>
      </w:r>
      <w:r w:rsidR="00766A80">
        <w:rPr>
          <w:sz w:val="24"/>
          <w:szCs w:val="24"/>
        </w:rPr>
        <w:t xml:space="preserve">.  Outcomes should be </w:t>
      </w:r>
      <w:proofErr w:type="spellStart"/>
      <w:r w:rsidR="00ED5160">
        <w:rPr>
          <w:sz w:val="24"/>
          <w:szCs w:val="24"/>
        </w:rPr>
        <w:t>aspirational</w:t>
      </w:r>
      <w:proofErr w:type="spellEnd"/>
      <w:r w:rsidR="00766A80">
        <w:rPr>
          <w:sz w:val="24"/>
          <w:szCs w:val="24"/>
        </w:rPr>
        <w:t xml:space="preserve"> and long term, </w:t>
      </w:r>
      <w:r w:rsidR="000A293E">
        <w:rPr>
          <w:sz w:val="24"/>
          <w:szCs w:val="24"/>
        </w:rPr>
        <w:t>i.e.</w:t>
      </w:r>
      <w:r w:rsidR="00766A80">
        <w:rPr>
          <w:sz w:val="24"/>
          <w:szCs w:val="24"/>
        </w:rPr>
        <w:t xml:space="preserve"> </w:t>
      </w:r>
      <w:r w:rsidR="00DA5FC2">
        <w:rPr>
          <w:sz w:val="24"/>
          <w:szCs w:val="24"/>
        </w:rPr>
        <w:t>EYFS /</w:t>
      </w:r>
      <w:r w:rsidR="00766A80">
        <w:rPr>
          <w:sz w:val="24"/>
          <w:szCs w:val="24"/>
        </w:rPr>
        <w:t>end of key stage</w:t>
      </w:r>
      <w:r w:rsidR="00DA5FC2">
        <w:rPr>
          <w:sz w:val="24"/>
          <w:szCs w:val="24"/>
        </w:rPr>
        <w:t>s</w:t>
      </w:r>
      <w:r w:rsidR="00766A80">
        <w:rPr>
          <w:sz w:val="24"/>
          <w:szCs w:val="24"/>
        </w:rPr>
        <w:t>.  They should be SMART (Specific Measurable Achievable Realistic Time-bound) and should be broken down</w:t>
      </w:r>
      <w:r w:rsidR="000A293E">
        <w:rPr>
          <w:sz w:val="24"/>
          <w:szCs w:val="24"/>
        </w:rPr>
        <w:t xml:space="preserve"> into smaller steps and targets to facilitate planning.</w:t>
      </w:r>
    </w:p>
    <w:p w:rsidR="00834988" w:rsidRDefault="00834988" w:rsidP="00C74F22">
      <w:pPr>
        <w:ind w:right="141"/>
        <w:rPr>
          <w:sz w:val="24"/>
          <w:szCs w:val="24"/>
        </w:rPr>
      </w:pPr>
    </w:p>
    <w:p w:rsidR="00834988" w:rsidRDefault="00D72586" w:rsidP="009725F9">
      <w:pPr>
        <w:pStyle w:val="Instruction"/>
        <w:numPr>
          <w:ilvl w:val="0"/>
          <w:numId w:val="11"/>
        </w:numPr>
      </w:pPr>
      <w:r>
        <w:t xml:space="preserve">    </w:t>
      </w:r>
      <w:r w:rsidR="00834988">
        <w:t>Transition</w:t>
      </w:r>
    </w:p>
    <w:p w:rsidR="00834988" w:rsidRDefault="005007F4" w:rsidP="00C74F22">
      <w:pPr>
        <w:ind w:right="141"/>
        <w:rPr>
          <w:sz w:val="24"/>
          <w:szCs w:val="24"/>
        </w:rPr>
      </w:pPr>
      <w:r>
        <w:rPr>
          <w:sz w:val="24"/>
          <w:szCs w:val="24"/>
        </w:rPr>
        <w:t>Settings,</w:t>
      </w:r>
      <w:r w:rsidR="00CA4F5C">
        <w:rPr>
          <w:sz w:val="24"/>
          <w:szCs w:val="24"/>
        </w:rPr>
        <w:t xml:space="preserve"> schools</w:t>
      </w:r>
      <w:r w:rsidR="006F2B2D">
        <w:rPr>
          <w:sz w:val="24"/>
          <w:szCs w:val="24"/>
        </w:rPr>
        <w:t xml:space="preserve"> </w:t>
      </w:r>
      <w:r w:rsidR="00FF5C51">
        <w:rPr>
          <w:sz w:val="24"/>
          <w:szCs w:val="24"/>
        </w:rPr>
        <w:t>need to keep in mind the next phase of a child or young person’s life when planning provision to ensure a smooth and successful transition into another educational setting</w:t>
      </w:r>
      <w:r w:rsidR="006F2B2D">
        <w:rPr>
          <w:sz w:val="24"/>
          <w:szCs w:val="24"/>
        </w:rPr>
        <w:t>, training</w:t>
      </w:r>
      <w:r w:rsidR="00FF5C51">
        <w:rPr>
          <w:sz w:val="24"/>
          <w:szCs w:val="24"/>
        </w:rPr>
        <w:t xml:space="preserve"> or employment.  Schools and settings can and should consider wider outcomes that will support a child or young person’s wider social development and independence </w:t>
      </w:r>
      <w:r w:rsidR="006F2B2D">
        <w:rPr>
          <w:sz w:val="24"/>
          <w:szCs w:val="24"/>
        </w:rPr>
        <w:t>in</w:t>
      </w:r>
      <w:r w:rsidR="00FF5C51">
        <w:rPr>
          <w:sz w:val="24"/>
          <w:szCs w:val="24"/>
        </w:rPr>
        <w:t xml:space="preserve"> adult life.</w:t>
      </w:r>
      <w:r w:rsidR="003F5859">
        <w:rPr>
          <w:sz w:val="24"/>
          <w:szCs w:val="24"/>
        </w:rPr>
        <w:t xml:space="preserve">  The importance of this transition to adulthood is reflected in the extension of the age-range to 0-25.</w:t>
      </w:r>
    </w:p>
    <w:p w:rsidR="00B375EF" w:rsidRDefault="00B375EF" w:rsidP="00C74F22">
      <w:pPr>
        <w:ind w:right="141"/>
        <w:rPr>
          <w:sz w:val="24"/>
          <w:szCs w:val="24"/>
        </w:rPr>
      </w:pPr>
    </w:p>
    <w:p w:rsidR="00D72586" w:rsidRDefault="00D72586">
      <w:pPr>
        <w:spacing w:after="200" w:line="276" w:lineRule="auto"/>
        <w:ind w:left="0" w:right="0"/>
        <w:rPr>
          <w:i/>
          <w:sz w:val="24"/>
          <w:szCs w:val="24"/>
        </w:rPr>
      </w:pPr>
      <w:r>
        <w:rPr>
          <w:i/>
          <w:sz w:val="24"/>
          <w:szCs w:val="24"/>
        </w:rPr>
        <w:br w:type="page"/>
      </w:r>
    </w:p>
    <w:p w:rsidR="00B375EF" w:rsidRPr="00D72586" w:rsidRDefault="00B375EF" w:rsidP="00D72586">
      <w:pPr>
        <w:ind w:left="720" w:right="141"/>
        <w:rPr>
          <w:sz w:val="24"/>
          <w:szCs w:val="24"/>
        </w:rPr>
      </w:pPr>
      <w:r w:rsidRPr="00D72586">
        <w:rPr>
          <w:sz w:val="24"/>
          <w:szCs w:val="24"/>
        </w:rPr>
        <w:lastRenderedPageBreak/>
        <w:t>“Preparing for adulthood from the earliest years</w:t>
      </w:r>
    </w:p>
    <w:p w:rsidR="00B971B2" w:rsidRPr="00D72586" w:rsidRDefault="00B375EF" w:rsidP="00D72586">
      <w:pPr>
        <w:ind w:left="720" w:right="141"/>
        <w:rPr>
          <w:sz w:val="24"/>
          <w:szCs w:val="24"/>
        </w:rPr>
      </w:pPr>
      <w:r w:rsidRPr="00D72586">
        <w:rPr>
          <w:sz w:val="24"/>
          <w:szCs w:val="24"/>
        </w:rPr>
        <w:t xml:space="preserve">Everyone working with children and young people who have SEN or disabilities should support them to prepare for adult life and help them go on to achieve the best outcomes in employment, independent living, </w:t>
      </w:r>
      <w:proofErr w:type="gramStart"/>
      <w:r w:rsidRPr="00D72586">
        <w:rPr>
          <w:sz w:val="24"/>
          <w:szCs w:val="24"/>
        </w:rPr>
        <w:t>health</w:t>
      </w:r>
      <w:proofErr w:type="gramEnd"/>
      <w:r w:rsidRPr="00D72586">
        <w:rPr>
          <w:sz w:val="24"/>
          <w:szCs w:val="24"/>
        </w:rPr>
        <w:t xml:space="preserve"> and community participation.”(EY guide to the 0-25 SEND COP)</w:t>
      </w:r>
    </w:p>
    <w:p w:rsidR="00D72586" w:rsidRPr="00BE2D8F" w:rsidRDefault="00D72586" w:rsidP="00BE2D8F">
      <w:pPr>
        <w:ind w:right="141"/>
        <w:jc w:val="center"/>
        <w:rPr>
          <w:i/>
          <w:sz w:val="24"/>
          <w:szCs w:val="24"/>
        </w:rPr>
      </w:pPr>
    </w:p>
    <w:p w:rsidR="00834988" w:rsidRPr="00204AE2" w:rsidRDefault="00D72586" w:rsidP="009725F9">
      <w:pPr>
        <w:pStyle w:val="Instruction"/>
        <w:numPr>
          <w:ilvl w:val="0"/>
          <w:numId w:val="11"/>
        </w:numPr>
      </w:pPr>
      <w:r>
        <w:t xml:space="preserve">    </w:t>
      </w:r>
      <w:r w:rsidR="009A7F7D">
        <w:t>E</w:t>
      </w:r>
      <w:r w:rsidR="00ED5160">
        <w:t xml:space="preserve">arly </w:t>
      </w:r>
      <w:r w:rsidR="009A7F7D">
        <w:t>Y</w:t>
      </w:r>
      <w:r w:rsidR="00ED5160">
        <w:t>ears</w:t>
      </w:r>
      <w:r w:rsidR="009A7F7D">
        <w:t xml:space="preserve"> Practitioners</w:t>
      </w:r>
    </w:p>
    <w:p w:rsidR="00FF5C51" w:rsidRDefault="009A7F7D" w:rsidP="007D1A23">
      <w:pPr>
        <w:pStyle w:val="In-pageheading"/>
        <w:ind w:right="0"/>
        <w:rPr>
          <w:b w:val="0"/>
          <w:sz w:val="24"/>
        </w:rPr>
      </w:pPr>
      <w:r>
        <w:rPr>
          <w:b w:val="0"/>
          <w:sz w:val="24"/>
        </w:rPr>
        <w:t xml:space="preserve">EY </w:t>
      </w:r>
      <w:r w:rsidR="008B6899">
        <w:rPr>
          <w:b w:val="0"/>
          <w:sz w:val="24"/>
        </w:rPr>
        <w:t xml:space="preserve">Practitioners </w:t>
      </w:r>
      <w:r w:rsidR="00FF5C51">
        <w:rPr>
          <w:b w:val="0"/>
          <w:sz w:val="24"/>
        </w:rPr>
        <w:t xml:space="preserve">are at the heart of the </w:t>
      </w:r>
      <w:r w:rsidR="00FF5C51" w:rsidRPr="00FF5C51">
        <w:rPr>
          <w:b w:val="0"/>
          <w:sz w:val="24"/>
        </w:rPr>
        <w:t>SEND Code of</w:t>
      </w:r>
      <w:r w:rsidR="008B6899">
        <w:rPr>
          <w:b w:val="0"/>
          <w:sz w:val="24"/>
        </w:rPr>
        <w:t xml:space="preserve"> Practice: 0-25 years (January 2015</w:t>
      </w:r>
      <w:r w:rsidR="00FF5C51" w:rsidRPr="00FF5C51">
        <w:rPr>
          <w:b w:val="0"/>
          <w:sz w:val="24"/>
        </w:rPr>
        <w:t>)</w:t>
      </w:r>
      <w:r w:rsidR="00FF5C51">
        <w:rPr>
          <w:b w:val="0"/>
          <w:sz w:val="24"/>
        </w:rPr>
        <w:t>:</w:t>
      </w:r>
    </w:p>
    <w:p w:rsidR="00FF5C51" w:rsidRDefault="00FF5C51" w:rsidP="00FF5C51">
      <w:pPr>
        <w:pStyle w:val="In-pageheading"/>
        <w:ind w:left="142" w:right="1275"/>
        <w:rPr>
          <w:b w:val="0"/>
          <w:sz w:val="24"/>
        </w:rPr>
      </w:pPr>
    </w:p>
    <w:p w:rsidR="00C74F22" w:rsidRPr="00D16B32" w:rsidRDefault="00195CEE" w:rsidP="00FF5C51">
      <w:pPr>
        <w:pStyle w:val="In-pageheading"/>
        <w:ind w:left="142" w:right="1275"/>
        <w:rPr>
          <w:b w:val="0"/>
          <w:sz w:val="24"/>
        </w:rPr>
      </w:pPr>
      <w:r>
        <w:rPr>
          <w:b w:val="0"/>
          <w:sz w:val="24"/>
        </w:rPr>
        <w:t>‘</w:t>
      </w:r>
      <w:r w:rsidR="00FF5C51">
        <w:rPr>
          <w:b w:val="0"/>
          <w:sz w:val="24"/>
        </w:rPr>
        <w:t>The first response to [inadequate] progress should always be high quality teaching t</w:t>
      </w:r>
      <w:r>
        <w:rPr>
          <w:b w:val="0"/>
          <w:sz w:val="24"/>
        </w:rPr>
        <w:t>argeted at the area of weakness’</w:t>
      </w:r>
      <w:r w:rsidR="00FF5C51">
        <w:rPr>
          <w:b w:val="0"/>
          <w:sz w:val="24"/>
        </w:rPr>
        <w:t xml:space="preserve"> (6.18; p.84)</w:t>
      </w:r>
    </w:p>
    <w:p w:rsidR="00D16B32" w:rsidRPr="00980A87" w:rsidRDefault="00D16B32" w:rsidP="007D1A23">
      <w:pPr>
        <w:pStyle w:val="In-pageheading"/>
        <w:ind w:right="0"/>
        <w:rPr>
          <w:b w:val="0"/>
          <w:sz w:val="24"/>
        </w:rPr>
      </w:pPr>
    </w:p>
    <w:p w:rsidR="00D16B32" w:rsidRDefault="008B6899" w:rsidP="007D1A23">
      <w:pPr>
        <w:pStyle w:val="In-pageheading"/>
        <w:ind w:right="0"/>
        <w:rPr>
          <w:b w:val="0"/>
          <w:sz w:val="24"/>
        </w:rPr>
      </w:pPr>
      <w:r>
        <w:rPr>
          <w:b w:val="0"/>
          <w:sz w:val="24"/>
        </w:rPr>
        <w:t xml:space="preserve">EY Practitioners </w:t>
      </w:r>
      <w:r w:rsidR="00980A87">
        <w:rPr>
          <w:b w:val="0"/>
          <w:sz w:val="24"/>
        </w:rPr>
        <w:t xml:space="preserve">should retain responsibility for the progress of children with SEND.  They should work closely with the SENCO, and, where appropriate </w:t>
      </w:r>
      <w:r>
        <w:rPr>
          <w:b w:val="0"/>
          <w:sz w:val="24"/>
        </w:rPr>
        <w:t xml:space="preserve">key workers </w:t>
      </w:r>
      <w:r w:rsidR="00980A87">
        <w:rPr>
          <w:b w:val="0"/>
          <w:sz w:val="24"/>
        </w:rPr>
        <w:t xml:space="preserve">must retain an overview of the planning and progress of the child.  </w:t>
      </w:r>
      <w:r w:rsidR="00C8368E">
        <w:rPr>
          <w:b w:val="0"/>
          <w:sz w:val="24"/>
        </w:rPr>
        <w:t>Schools</w:t>
      </w:r>
      <w:r w:rsidR="00CA4F5C">
        <w:rPr>
          <w:b w:val="0"/>
          <w:sz w:val="24"/>
        </w:rPr>
        <w:t xml:space="preserve"> </w:t>
      </w:r>
      <w:r w:rsidR="00980A87">
        <w:rPr>
          <w:b w:val="0"/>
          <w:sz w:val="24"/>
        </w:rPr>
        <w:t xml:space="preserve">and settings should support </w:t>
      </w:r>
      <w:r>
        <w:rPr>
          <w:b w:val="0"/>
          <w:sz w:val="24"/>
        </w:rPr>
        <w:t xml:space="preserve">practitioners </w:t>
      </w:r>
      <w:r w:rsidR="00980A87">
        <w:rPr>
          <w:b w:val="0"/>
          <w:sz w:val="24"/>
        </w:rPr>
        <w:t>to develop the knowledge and skills to address the needs of the children in their care.</w:t>
      </w:r>
    </w:p>
    <w:p w:rsidR="00980A87" w:rsidRDefault="00980A87" w:rsidP="007D1A23">
      <w:pPr>
        <w:pStyle w:val="In-pageheading"/>
        <w:ind w:right="0"/>
        <w:rPr>
          <w:b w:val="0"/>
          <w:sz w:val="24"/>
        </w:rPr>
      </w:pPr>
    </w:p>
    <w:p w:rsidR="00980A87" w:rsidRPr="00B971B2" w:rsidRDefault="00D72586" w:rsidP="00184537">
      <w:pPr>
        <w:pStyle w:val="Instruction"/>
        <w:numPr>
          <w:ilvl w:val="0"/>
          <w:numId w:val="11"/>
        </w:numPr>
        <w:rPr>
          <w:sz w:val="24"/>
        </w:rPr>
      </w:pPr>
      <w:r>
        <w:t xml:space="preserve">    </w:t>
      </w:r>
      <w:r w:rsidR="00980A87">
        <w:t>Graduated approach</w:t>
      </w:r>
    </w:p>
    <w:p w:rsidR="00184537" w:rsidRDefault="00980A87" w:rsidP="00184537">
      <w:pPr>
        <w:ind w:right="141"/>
        <w:rPr>
          <w:sz w:val="24"/>
        </w:rPr>
      </w:pPr>
      <w:r w:rsidRPr="00184537">
        <w:rPr>
          <w:sz w:val="24"/>
        </w:rPr>
        <w:t xml:space="preserve">The categories of </w:t>
      </w:r>
      <w:r w:rsidR="007A4253">
        <w:rPr>
          <w:sz w:val="24"/>
        </w:rPr>
        <w:t>Early Year</w:t>
      </w:r>
      <w:r w:rsidR="00DA5FC2">
        <w:rPr>
          <w:sz w:val="24"/>
        </w:rPr>
        <w:t>s</w:t>
      </w:r>
      <w:r w:rsidR="007A4253">
        <w:rPr>
          <w:sz w:val="24"/>
        </w:rPr>
        <w:t xml:space="preserve"> </w:t>
      </w:r>
      <w:r w:rsidRPr="00184537">
        <w:rPr>
          <w:sz w:val="24"/>
        </w:rPr>
        <w:t xml:space="preserve">Action and </w:t>
      </w:r>
      <w:r w:rsidR="007A4253">
        <w:rPr>
          <w:sz w:val="24"/>
        </w:rPr>
        <w:t xml:space="preserve">Early Years </w:t>
      </w:r>
      <w:r w:rsidRPr="00184537">
        <w:rPr>
          <w:sz w:val="24"/>
        </w:rPr>
        <w:t>A</w:t>
      </w:r>
      <w:r w:rsidR="003F6EE8">
        <w:rPr>
          <w:sz w:val="24"/>
        </w:rPr>
        <w:t>ction Plus have been removed to</w:t>
      </w:r>
      <w:r w:rsidR="003F6EE8" w:rsidRPr="003F6EE8">
        <w:rPr>
          <w:sz w:val="24"/>
        </w:rPr>
        <w:t xml:space="preserve"> focus the system on the impact of the support provided for the child rather than associat</w:t>
      </w:r>
      <w:r w:rsidR="003F6EE8">
        <w:rPr>
          <w:sz w:val="24"/>
        </w:rPr>
        <w:t>ing the support with a category</w:t>
      </w:r>
      <w:r w:rsidRPr="00184537">
        <w:rPr>
          <w:sz w:val="24"/>
        </w:rPr>
        <w:t>.</w:t>
      </w:r>
      <w:r w:rsidR="00184537" w:rsidRPr="00184537">
        <w:rPr>
          <w:sz w:val="24"/>
        </w:rPr>
        <w:t xml:space="preserve">  </w:t>
      </w:r>
      <w:r w:rsidR="00ED5160" w:rsidRPr="00184537">
        <w:rPr>
          <w:sz w:val="24"/>
        </w:rPr>
        <w:t>Schools</w:t>
      </w:r>
      <w:r w:rsidR="00DA5FC2">
        <w:rPr>
          <w:sz w:val="24"/>
        </w:rPr>
        <w:t xml:space="preserve"> </w:t>
      </w:r>
      <w:r w:rsidR="00DA5FC2" w:rsidRPr="00184537">
        <w:rPr>
          <w:sz w:val="24"/>
        </w:rPr>
        <w:t>and</w:t>
      </w:r>
      <w:r w:rsidR="00184537" w:rsidRPr="00184537">
        <w:rPr>
          <w:sz w:val="24"/>
        </w:rPr>
        <w:t xml:space="preserve"> settings should a</w:t>
      </w:r>
      <w:r w:rsidR="00184537">
        <w:rPr>
          <w:sz w:val="24"/>
        </w:rPr>
        <w:t>dopt a graduated approach with a cycle of assess</w:t>
      </w:r>
      <w:r w:rsidR="006F2B2D">
        <w:rPr>
          <w:sz w:val="24"/>
        </w:rPr>
        <w:t>ing</w:t>
      </w:r>
      <w:r w:rsidR="00184537">
        <w:rPr>
          <w:sz w:val="24"/>
        </w:rPr>
        <w:t>, pla</w:t>
      </w:r>
      <w:r w:rsidR="006F2B2D">
        <w:rPr>
          <w:sz w:val="24"/>
        </w:rPr>
        <w:t>n</w:t>
      </w:r>
      <w:r w:rsidR="00184537">
        <w:rPr>
          <w:sz w:val="24"/>
        </w:rPr>
        <w:t>n</w:t>
      </w:r>
      <w:r w:rsidR="006F2B2D">
        <w:rPr>
          <w:sz w:val="24"/>
        </w:rPr>
        <w:t>ing</w:t>
      </w:r>
      <w:r w:rsidR="00184537">
        <w:rPr>
          <w:sz w:val="24"/>
        </w:rPr>
        <w:t>, do</w:t>
      </w:r>
      <w:r w:rsidR="006F2B2D">
        <w:rPr>
          <w:sz w:val="24"/>
        </w:rPr>
        <w:t>ing (action)</w:t>
      </w:r>
      <w:r w:rsidR="00184537">
        <w:rPr>
          <w:sz w:val="24"/>
        </w:rPr>
        <w:t xml:space="preserve"> and </w:t>
      </w:r>
      <w:r w:rsidR="006F2B2D">
        <w:rPr>
          <w:sz w:val="24"/>
        </w:rPr>
        <w:t xml:space="preserve">then </w:t>
      </w:r>
      <w:r w:rsidR="00184537">
        <w:rPr>
          <w:sz w:val="24"/>
        </w:rPr>
        <w:t>review</w:t>
      </w:r>
      <w:r w:rsidR="006F2B2D">
        <w:rPr>
          <w:sz w:val="24"/>
        </w:rPr>
        <w:t>ing</w:t>
      </w:r>
      <w:r w:rsidR="00184537">
        <w:rPr>
          <w:sz w:val="24"/>
        </w:rPr>
        <w:t>:</w:t>
      </w:r>
    </w:p>
    <w:p w:rsidR="00184537" w:rsidRPr="00184537" w:rsidRDefault="00184537" w:rsidP="00184537">
      <w:pPr>
        <w:ind w:right="141"/>
        <w:rPr>
          <w:sz w:val="24"/>
        </w:rPr>
      </w:pPr>
    </w:p>
    <w:p w:rsidR="00184537" w:rsidRDefault="00195CEE" w:rsidP="00184537">
      <w:pPr>
        <w:ind w:left="284" w:right="1133"/>
        <w:rPr>
          <w:sz w:val="23"/>
          <w:szCs w:val="23"/>
        </w:rPr>
      </w:pPr>
      <w:r>
        <w:rPr>
          <w:sz w:val="23"/>
          <w:szCs w:val="23"/>
        </w:rPr>
        <w:t>‘</w:t>
      </w:r>
      <w:r w:rsidR="00184537">
        <w:rPr>
          <w:sz w:val="23"/>
          <w:szCs w:val="23"/>
        </w:rPr>
        <w:t>SEN support should take the form of a four-part cycle through which earlier decisions and actions are revisited, refined and revised with a growing understanding of the pupil’s needs and of what supports the pupil in making good progress and securing good outcomes.</w:t>
      </w:r>
      <w:r>
        <w:rPr>
          <w:sz w:val="23"/>
          <w:szCs w:val="23"/>
        </w:rPr>
        <w:t>’</w:t>
      </w:r>
    </w:p>
    <w:p w:rsidR="00184537" w:rsidRDefault="00184537" w:rsidP="00184537">
      <w:pPr>
        <w:ind w:left="284" w:right="1133"/>
        <w:rPr>
          <w:sz w:val="23"/>
          <w:szCs w:val="23"/>
        </w:rPr>
      </w:pPr>
    </w:p>
    <w:p w:rsidR="00980A87" w:rsidRDefault="00184537" w:rsidP="00184537">
      <w:pPr>
        <w:pStyle w:val="In-pageheading"/>
        <w:ind w:left="284" w:right="0"/>
        <w:rPr>
          <w:b w:val="0"/>
          <w:sz w:val="24"/>
        </w:rPr>
      </w:pPr>
      <w:r w:rsidRPr="00184537">
        <w:rPr>
          <w:b w:val="0"/>
          <w:sz w:val="24"/>
        </w:rPr>
        <w:t>SEND Code of</w:t>
      </w:r>
      <w:r w:rsidR="007A4253">
        <w:rPr>
          <w:b w:val="0"/>
          <w:sz w:val="24"/>
        </w:rPr>
        <w:t xml:space="preserve"> Practice: 0-25 years (January 2015</w:t>
      </w:r>
      <w:r w:rsidRPr="00184537">
        <w:rPr>
          <w:b w:val="0"/>
          <w:sz w:val="24"/>
        </w:rPr>
        <w:t>)</w:t>
      </w:r>
      <w:r>
        <w:rPr>
          <w:b w:val="0"/>
          <w:sz w:val="24"/>
        </w:rPr>
        <w:t>; 6.44; p.89.</w:t>
      </w:r>
    </w:p>
    <w:p w:rsidR="00756772" w:rsidRDefault="00756772" w:rsidP="00756772">
      <w:pPr>
        <w:ind w:right="141"/>
        <w:rPr>
          <w:sz w:val="24"/>
        </w:rPr>
      </w:pPr>
    </w:p>
    <w:p w:rsidR="00B66D25" w:rsidRDefault="004F66EA" w:rsidP="004F66EA">
      <w:pPr>
        <w:spacing w:after="200" w:line="276" w:lineRule="auto"/>
        <w:ind w:right="0"/>
        <w:rPr>
          <w:sz w:val="24"/>
        </w:rPr>
      </w:pPr>
      <w:r w:rsidRPr="004F66EA">
        <w:rPr>
          <w:sz w:val="24"/>
        </w:rPr>
        <w:t xml:space="preserve">National guidance anticipates that most </w:t>
      </w:r>
      <w:r w:rsidR="00ED5160">
        <w:rPr>
          <w:sz w:val="24"/>
        </w:rPr>
        <w:t>schools</w:t>
      </w:r>
      <w:r>
        <w:rPr>
          <w:sz w:val="24"/>
        </w:rPr>
        <w:t xml:space="preserve"> and settings will have started using the</w:t>
      </w:r>
      <w:r w:rsidRPr="004F66EA">
        <w:rPr>
          <w:sz w:val="24"/>
        </w:rPr>
        <w:t xml:space="preserve"> SEN Support categ</w:t>
      </w:r>
      <w:r w:rsidR="00D00788">
        <w:rPr>
          <w:sz w:val="24"/>
        </w:rPr>
        <w:t xml:space="preserve">ory by spring 2015 </w:t>
      </w:r>
      <w:r w:rsidR="00DA5FC2">
        <w:rPr>
          <w:sz w:val="24"/>
        </w:rPr>
        <w:t>and for all children</w:t>
      </w:r>
      <w:r w:rsidRPr="004F66EA">
        <w:rPr>
          <w:sz w:val="24"/>
        </w:rPr>
        <w:t xml:space="preserve"> </w:t>
      </w:r>
      <w:r w:rsidR="002A0023">
        <w:rPr>
          <w:sz w:val="24"/>
        </w:rPr>
        <w:t xml:space="preserve">for whom it is appropriate </w:t>
      </w:r>
      <w:r w:rsidRPr="004F66EA">
        <w:rPr>
          <w:sz w:val="24"/>
        </w:rPr>
        <w:t>to have moved to SEN support by September 2015.</w:t>
      </w:r>
      <w:r w:rsidR="00B66D25" w:rsidRPr="004F66EA">
        <w:rPr>
          <w:sz w:val="24"/>
        </w:rPr>
        <w:br w:type="page"/>
      </w:r>
    </w:p>
    <w:p w:rsidR="0031070B" w:rsidRDefault="006F2B2D" w:rsidP="0031070B">
      <w:pPr>
        <w:pStyle w:val="In-pageheading"/>
        <w:ind w:right="0"/>
      </w:pPr>
      <w:bookmarkStart w:id="12" w:name="theroleofthelocalauthority"/>
      <w:r>
        <w:lastRenderedPageBreak/>
        <w:t>The role of the l</w:t>
      </w:r>
      <w:r w:rsidR="0031070B">
        <w:t>ocal authority</w:t>
      </w:r>
    </w:p>
    <w:bookmarkEnd w:id="12"/>
    <w:p w:rsidR="00184537" w:rsidRDefault="00184537" w:rsidP="00184537">
      <w:pPr>
        <w:pStyle w:val="In-pageheading"/>
        <w:ind w:right="0"/>
        <w:rPr>
          <w:b w:val="0"/>
          <w:sz w:val="24"/>
        </w:rPr>
      </w:pPr>
    </w:p>
    <w:p w:rsidR="0031070B" w:rsidRDefault="0031070B" w:rsidP="00184537">
      <w:pPr>
        <w:pStyle w:val="In-pageheading"/>
        <w:ind w:right="0"/>
        <w:rPr>
          <w:b w:val="0"/>
          <w:sz w:val="24"/>
        </w:rPr>
      </w:pPr>
      <w:r>
        <w:rPr>
          <w:b w:val="0"/>
          <w:sz w:val="24"/>
        </w:rPr>
        <w:t xml:space="preserve">In addition to changes in educational settings’ approaches to meeting the needs of children and young people with SEN and Disabilities, the </w:t>
      </w:r>
      <w:r w:rsidRPr="0031070B">
        <w:rPr>
          <w:b w:val="0"/>
          <w:sz w:val="24"/>
        </w:rPr>
        <w:t>SEND Code of</w:t>
      </w:r>
      <w:r w:rsidR="006724BC">
        <w:rPr>
          <w:b w:val="0"/>
          <w:sz w:val="24"/>
        </w:rPr>
        <w:t xml:space="preserve"> Practice: 0-25 years (January 2015</w:t>
      </w:r>
      <w:r w:rsidRPr="0031070B">
        <w:rPr>
          <w:b w:val="0"/>
          <w:sz w:val="24"/>
        </w:rPr>
        <w:t>)</w:t>
      </w:r>
      <w:r>
        <w:rPr>
          <w:b w:val="0"/>
          <w:sz w:val="24"/>
        </w:rPr>
        <w:t xml:space="preserve"> sets out reforms for local authorities.  </w:t>
      </w:r>
      <w:r w:rsidR="002E241A">
        <w:rPr>
          <w:b w:val="0"/>
          <w:sz w:val="24"/>
        </w:rPr>
        <w:t>These include:</w:t>
      </w:r>
    </w:p>
    <w:p w:rsidR="002E241A" w:rsidRDefault="002E241A" w:rsidP="00184537">
      <w:pPr>
        <w:pStyle w:val="In-pageheading"/>
        <w:ind w:right="0"/>
        <w:rPr>
          <w:b w:val="0"/>
          <w:sz w:val="24"/>
        </w:rPr>
      </w:pPr>
    </w:p>
    <w:p w:rsidR="002E241A" w:rsidRDefault="002E241A" w:rsidP="009725F9">
      <w:pPr>
        <w:pStyle w:val="In-pageheading"/>
        <w:numPr>
          <w:ilvl w:val="0"/>
          <w:numId w:val="5"/>
        </w:numPr>
        <w:spacing w:after="240"/>
        <w:ind w:right="0"/>
        <w:rPr>
          <w:b w:val="0"/>
          <w:sz w:val="24"/>
        </w:rPr>
      </w:pPr>
      <w:r>
        <w:rPr>
          <w:b w:val="0"/>
          <w:sz w:val="24"/>
        </w:rPr>
        <w:t xml:space="preserve">An increased voice for children and young people and their </w:t>
      </w:r>
      <w:r w:rsidR="00714E76" w:rsidRPr="00714E76">
        <w:rPr>
          <w:b w:val="0"/>
          <w:sz w:val="24"/>
        </w:rPr>
        <w:t>parents/carers</w:t>
      </w:r>
      <w:r>
        <w:rPr>
          <w:b w:val="0"/>
          <w:sz w:val="24"/>
        </w:rPr>
        <w:t xml:space="preserve"> in planning provision at a local authority level</w:t>
      </w:r>
      <w:r w:rsidR="00536195">
        <w:rPr>
          <w:b w:val="0"/>
          <w:sz w:val="24"/>
        </w:rPr>
        <w:t>.</w:t>
      </w:r>
    </w:p>
    <w:p w:rsidR="002E241A" w:rsidRDefault="002E241A" w:rsidP="009725F9">
      <w:pPr>
        <w:pStyle w:val="In-pageheading"/>
        <w:numPr>
          <w:ilvl w:val="0"/>
          <w:numId w:val="5"/>
        </w:numPr>
        <w:spacing w:after="240"/>
        <w:ind w:right="0"/>
        <w:rPr>
          <w:b w:val="0"/>
          <w:sz w:val="24"/>
        </w:rPr>
      </w:pPr>
      <w:r>
        <w:rPr>
          <w:b w:val="0"/>
          <w:sz w:val="24"/>
        </w:rPr>
        <w:t>A duty to publish information about services for children and young people with special educational needs and disabilities</w:t>
      </w:r>
      <w:r w:rsidR="008903EB">
        <w:rPr>
          <w:b w:val="0"/>
          <w:sz w:val="24"/>
        </w:rPr>
        <w:t xml:space="preserve">: </w:t>
      </w:r>
      <w:r>
        <w:rPr>
          <w:b w:val="0"/>
          <w:sz w:val="24"/>
        </w:rPr>
        <w:t>the ‘local offer’.</w:t>
      </w:r>
    </w:p>
    <w:p w:rsidR="002E241A" w:rsidRDefault="006F2B2D" w:rsidP="009725F9">
      <w:pPr>
        <w:pStyle w:val="In-pageheading"/>
        <w:numPr>
          <w:ilvl w:val="0"/>
          <w:numId w:val="5"/>
        </w:numPr>
        <w:spacing w:after="240"/>
        <w:ind w:right="0"/>
        <w:rPr>
          <w:b w:val="0"/>
          <w:sz w:val="24"/>
        </w:rPr>
      </w:pPr>
      <w:r>
        <w:rPr>
          <w:b w:val="0"/>
          <w:sz w:val="24"/>
        </w:rPr>
        <w:t>The issuing of Education, Health and Care Plans (My Plans) rather than Statements of special educational needs and the conversion of all current Statements to My Plans by April 2018</w:t>
      </w:r>
      <w:r w:rsidR="00B971B2">
        <w:rPr>
          <w:b w:val="0"/>
          <w:sz w:val="24"/>
        </w:rPr>
        <w:t xml:space="preserve">.  </w:t>
      </w:r>
      <w:r w:rsidR="00BE5D2C">
        <w:rPr>
          <w:b w:val="0"/>
          <w:sz w:val="24"/>
        </w:rPr>
        <w:t>The EHC plans will look at needs, provision and outcomes in the areas of health and care as well as education.  There will be no change to the criteria which local authorities use to decide whether children and young people are eligible for an EHC plan.  The time for the local authority to make an EHC plan will be reduced to 20 weeks.</w:t>
      </w:r>
    </w:p>
    <w:p w:rsidR="00536195" w:rsidRPr="00FF5C51" w:rsidRDefault="00536195" w:rsidP="009725F9">
      <w:pPr>
        <w:pStyle w:val="In-pageheading"/>
        <w:numPr>
          <w:ilvl w:val="0"/>
          <w:numId w:val="5"/>
        </w:numPr>
        <w:spacing w:after="240"/>
        <w:ind w:right="0"/>
        <w:rPr>
          <w:b w:val="0"/>
          <w:sz w:val="24"/>
        </w:rPr>
      </w:pPr>
      <w:r>
        <w:rPr>
          <w:b w:val="0"/>
          <w:sz w:val="24"/>
        </w:rPr>
        <w:t xml:space="preserve">There will be </w:t>
      </w:r>
      <w:r w:rsidR="006F2B2D">
        <w:rPr>
          <w:b w:val="0"/>
          <w:sz w:val="24"/>
        </w:rPr>
        <w:t>clear arrangements for</w:t>
      </w:r>
      <w:r>
        <w:rPr>
          <w:b w:val="0"/>
          <w:sz w:val="24"/>
        </w:rPr>
        <w:t xml:space="preserve"> joint planning and commissioning between health, education and social care to </w:t>
      </w:r>
      <w:r w:rsidR="006F2B2D">
        <w:rPr>
          <w:b w:val="0"/>
          <w:sz w:val="24"/>
        </w:rPr>
        <w:t xml:space="preserve">ensure that the provision described in </w:t>
      </w:r>
      <w:r w:rsidR="008903EB">
        <w:rPr>
          <w:b w:val="0"/>
          <w:sz w:val="24"/>
        </w:rPr>
        <w:t xml:space="preserve">EHC </w:t>
      </w:r>
      <w:r w:rsidR="006F2B2D">
        <w:rPr>
          <w:b w:val="0"/>
          <w:sz w:val="24"/>
        </w:rPr>
        <w:t>Plans and in the local offer are available</w:t>
      </w:r>
      <w:r>
        <w:rPr>
          <w:b w:val="0"/>
          <w:sz w:val="24"/>
        </w:rPr>
        <w:t>.</w:t>
      </w:r>
    </w:p>
    <w:tbl>
      <w:tblPr>
        <w:tblStyle w:val="TableGrid"/>
        <w:tblW w:w="0" w:type="auto"/>
        <w:tblInd w:w="-176" w:type="dxa"/>
        <w:tblLook w:val="04A0"/>
      </w:tblPr>
      <w:tblGrid>
        <w:gridCol w:w="9747"/>
      </w:tblGrid>
      <w:tr w:rsidR="0074671E" w:rsidTr="00BF7736">
        <w:tc>
          <w:tcPr>
            <w:tcW w:w="9747" w:type="dxa"/>
            <w:shd w:val="clear" w:color="auto" w:fill="1F497D" w:themeFill="text2"/>
            <w:tcMar>
              <w:top w:w="113" w:type="dxa"/>
              <w:bottom w:w="113" w:type="dxa"/>
            </w:tcMar>
          </w:tcPr>
          <w:p w:rsidR="0074671E" w:rsidRDefault="0074671E" w:rsidP="00BF7736">
            <w:pPr>
              <w:pStyle w:val="tab"/>
              <w:ind w:right="141"/>
            </w:pPr>
            <w:r w:rsidRPr="00BF7736">
              <w:rPr>
                <w:rFonts w:asciiTheme="minorHAnsi" w:hAnsiTheme="minorHAnsi"/>
                <w:sz w:val="28"/>
                <w:szCs w:val="24"/>
              </w:rPr>
              <w:t xml:space="preserve">The remainder of this document gives further guidance on the ‘Assess, Plan, Do, Review’ cycle and on using the </w:t>
            </w:r>
            <w:r w:rsidR="00CA4F5C">
              <w:rPr>
                <w:rFonts w:asciiTheme="minorHAnsi" w:hAnsiTheme="minorHAnsi"/>
                <w:sz w:val="28"/>
                <w:szCs w:val="24"/>
              </w:rPr>
              <w:t>EYFS/</w:t>
            </w:r>
            <w:r w:rsidR="006724BC">
              <w:rPr>
                <w:rFonts w:asciiTheme="minorHAnsi" w:hAnsiTheme="minorHAnsi"/>
                <w:b/>
                <w:sz w:val="28"/>
                <w:szCs w:val="24"/>
              </w:rPr>
              <w:t>EY Child</w:t>
            </w:r>
            <w:r w:rsidR="00133BCB" w:rsidRPr="00133BCB">
              <w:rPr>
                <w:rFonts w:asciiTheme="minorHAnsi" w:hAnsiTheme="minorHAnsi"/>
                <w:b/>
                <w:sz w:val="28"/>
                <w:szCs w:val="24"/>
              </w:rPr>
              <w:t xml:space="preserve"> profile</w:t>
            </w:r>
            <w:r w:rsidRPr="00BF7736">
              <w:rPr>
                <w:rFonts w:asciiTheme="minorHAnsi" w:hAnsiTheme="minorHAnsi"/>
                <w:sz w:val="28"/>
                <w:szCs w:val="24"/>
              </w:rPr>
              <w:t xml:space="preserve"> that supports this graduated approach</w:t>
            </w:r>
            <w:r w:rsidR="00BF7736">
              <w:t>.</w:t>
            </w:r>
          </w:p>
        </w:tc>
      </w:tr>
    </w:tbl>
    <w:p w:rsidR="00CD6F01" w:rsidRDefault="00CD6F01" w:rsidP="00CD6F01">
      <w:pPr>
        <w:spacing w:after="200" w:line="276" w:lineRule="auto"/>
        <w:ind w:right="0"/>
        <w:rPr>
          <w:rFonts w:asciiTheme="minorHAnsi" w:hAnsiTheme="minorHAnsi"/>
          <w:sz w:val="24"/>
          <w:szCs w:val="24"/>
        </w:rPr>
        <w:sectPr w:rsidR="00CD6F01" w:rsidSect="006F7525">
          <w:headerReference w:type="default" r:id="rId19"/>
          <w:pgSz w:w="11906" w:h="16838"/>
          <w:pgMar w:top="1440" w:right="1416" w:bottom="1440" w:left="993" w:header="708" w:footer="422" w:gutter="0"/>
          <w:cols w:space="708"/>
          <w:docGrid w:linePitch="360"/>
        </w:sectPr>
      </w:pPr>
    </w:p>
    <w:p w:rsidR="00195CEE" w:rsidRDefault="00195CEE" w:rsidP="00195CEE">
      <w:pPr>
        <w:pStyle w:val="In-pageheading"/>
        <w:rPr>
          <w:szCs w:val="24"/>
        </w:rPr>
      </w:pPr>
      <w:r>
        <w:rPr>
          <w:szCs w:val="24"/>
        </w:rPr>
        <w:lastRenderedPageBreak/>
        <w:t>The Assess, Plan, Do, Review Cycle</w:t>
      </w:r>
    </w:p>
    <w:p w:rsidR="00195CEE" w:rsidRDefault="00195CEE" w:rsidP="00A07401">
      <w:pPr>
        <w:pStyle w:val="In-pageheading"/>
        <w:ind w:left="0"/>
        <w:rPr>
          <w:szCs w:val="24"/>
        </w:rPr>
      </w:pPr>
    </w:p>
    <w:p w:rsidR="0044058A" w:rsidRPr="0044058A" w:rsidRDefault="0044058A" w:rsidP="00195CEE">
      <w:pPr>
        <w:pStyle w:val="In-pageheading"/>
        <w:rPr>
          <w:szCs w:val="24"/>
        </w:rPr>
      </w:pPr>
      <w:bookmarkStart w:id="13" w:name="identifyingpotentialsen"/>
      <w:r w:rsidRPr="0044058A">
        <w:rPr>
          <w:szCs w:val="24"/>
        </w:rPr>
        <w:t>Identify</w:t>
      </w:r>
      <w:r w:rsidR="00A07401">
        <w:rPr>
          <w:szCs w:val="24"/>
        </w:rPr>
        <w:t>ing potential SEN</w:t>
      </w:r>
    </w:p>
    <w:bookmarkEnd w:id="13"/>
    <w:p w:rsidR="00B879DE" w:rsidRDefault="00B879DE" w:rsidP="00B879DE">
      <w:pPr>
        <w:ind w:right="141"/>
        <w:rPr>
          <w:sz w:val="22"/>
          <w:szCs w:val="22"/>
        </w:rPr>
      </w:pPr>
    </w:p>
    <w:p w:rsidR="00B879DE" w:rsidRPr="00A07401" w:rsidRDefault="00B879DE" w:rsidP="00B879DE">
      <w:pPr>
        <w:ind w:right="141"/>
        <w:rPr>
          <w:rFonts w:asciiTheme="minorHAnsi" w:hAnsiTheme="minorHAnsi"/>
          <w:sz w:val="24"/>
          <w:szCs w:val="24"/>
        </w:rPr>
      </w:pPr>
      <w:r w:rsidRPr="00B879DE">
        <w:rPr>
          <w:sz w:val="24"/>
          <w:szCs w:val="22"/>
        </w:rPr>
        <w:t>On most occasions, adequate progress will be made by chi</w:t>
      </w:r>
      <w:r>
        <w:rPr>
          <w:sz w:val="24"/>
          <w:szCs w:val="22"/>
        </w:rPr>
        <w:t xml:space="preserve">ldren and young people through </w:t>
      </w:r>
      <w:r w:rsidRPr="00B879DE">
        <w:rPr>
          <w:sz w:val="24"/>
          <w:szCs w:val="22"/>
        </w:rPr>
        <w:t xml:space="preserve">using the resources and expertise that are already available through </w:t>
      </w:r>
      <w:r w:rsidR="00A07401">
        <w:rPr>
          <w:sz w:val="24"/>
          <w:szCs w:val="22"/>
        </w:rPr>
        <w:t>u</w:t>
      </w:r>
      <w:r w:rsidRPr="00B879DE">
        <w:rPr>
          <w:sz w:val="24"/>
          <w:szCs w:val="22"/>
        </w:rPr>
        <w:t>niversal and inclusive provision in the</w:t>
      </w:r>
      <w:r w:rsidR="000A293E">
        <w:rPr>
          <w:sz w:val="24"/>
          <w:szCs w:val="22"/>
        </w:rPr>
        <w:t>ir</w:t>
      </w:r>
      <w:r w:rsidR="00CA4F5C">
        <w:rPr>
          <w:sz w:val="24"/>
          <w:szCs w:val="22"/>
        </w:rPr>
        <w:t xml:space="preserve"> mainstream school,</w:t>
      </w:r>
      <w:r w:rsidR="000A293E">
        <w:rPr>
          <w:sz w:val="24"/>
          <w:szCs w:val="22"/>
        </w:rPr>
        <w:t xml:space="preserve"> </w:t>
      </w:r>
      <w:r w:rsidRPr="00B879DE">
        <w:rPr>
          <w:sz w:val="24"/>
          <w:szCs w:val="22"/>
        </w:rPr>
        <w:t xml:space="preserve">or early years setting </w:t>
      </w:r>
      <w:r w:rsidRPr="00B879DE">
        <w:rPr>
          <w:i/>
          <w:sz w:val="24"/>
          <w:szCs w:val="22"/>
        </w:rPr>
        <w:t xml:space="preserve">e.g. activities in a small group within the </w:t>
      </w:r>
      <w:r w:rsidRPr="00A07401">
        <w:rPr>
          <w:rFonts w:asciiTheme="minorHAnsi" w:hAnsiTheme="minorHAnsi"/>
          <w:i/>
          <w:sz w:val="24"/>
          <w:szCs w:val="24"/>
        </w:rPr>
        <w:t>classroom or an additional reward system for targeted behaviour</w:t>
      </w:r>
      <w:r w:rsidR="000A293E" w:rsidRPr="00A07401">
        <w:rPr>
          <w:rFonts w:asciiTheme="minorHAnsi" w:hAnsiTheme="minorHAnsi"/>
          <w:sz w:val="24"/>
          <w:szCs w:val="24"/>
        </w:rPr>
        <w:t xml:space="preserve">. </w:t>
      </w:r>
      <w:r w:rsidRPr="00A07401">
        <w:rPr>
          <w:rFonts w:asciiTheme="minorHAnsi" w:hAnsiTheme="minorHAnsi"/>
          <w:sz w:val="24"/>
          <w:szCs w:val="24"/>
        </w:rPr>
        <w:t xml:space="preserve"> Examples of good quality, universal inclusive provision can be found</w:t>
      </w:r>
      <w:r w:rsidR="003D08E6">
        <w:rPr>
          <w:rFonts w:asciiTheme="minorHAnsi" w:hAnsiTheme="minorHAnsi"/>
          <w:sz w:val="24"/>
          <w:szCs w:val="24"/>
        </w:rPr>
        <w:t xml:space="preserve"> in </w:t>
      </w:r>
      <w:hyperlink r:id="rId20" w:history="1">
        <w:r w:rsidR="003D08E6" w:rsidRPr="003D08E6">
          <w:rPr>
            <w:rStyle w:val="Hyperlink"/>
            <w:sz w:val="24"/>
          </w:rPr>
          <w:t>Wiltshire’s Local Offer</w:t>
        </w:r>
      </w:hyperlink>
      <w:r w:rsidRPr="00A07401">
        <w:rPr>
          <w:rFonts w:asciiTheme="minorHAnsi" w:hAnsiTheme="minorHAnsi"/>
          <w:sz w:val="24"/>
          <w:szCs w:val="24"/>
        </w:rPr>
        <w:t>.</w:t>
      </w:r>
    </w:p>
    <w:p w:rsidR="00A07401" w:rsidRPr="00A07401" w:rsidRDefault="00A07401" w:rsidP="00B879DE">
      <w:pPr>
        <w:ind w:right="141"/>
        <w:rPr>
          <w:rFonts w:asciiTheme="minorHAnsi" w:hAnsiTheme="minorHAnsi"/>
          <w:sz w:val="24"/>
          <w:szCs w:val="24"/>
        </w:rPr>
      </w:pPr>
    </w:p>
    <w:p w:rsidR="00A07401" w:rsidRPr="00A07401" w:rsidRDefault="00A07401" w:rsidP="00B879DE">
      <w:pPr>
        <w:ind w:right="141"/>
        <w:rPr>
          <w:rFonts w:asciiTheme="minorHAnsi" w:hAnsiTheme="minorHAnsi"/>
          <w:sz w:val="24"/>
          <w:szCs w:val="24"/>
        </w:rPr>
      </w:pPr>
      <w:r w:rsidRPr="00A07401">
        <w:rPr>
          <w:rFonts w:asciiTheme="minorHAnsi" w:hAnsiTheme="minorHAnsi"/>
          <w:sz w:val="24"/>
          <w:szCs w:val="24"/>
        </w:rPr>
        <w:t>Inadequate progress is defined in the SEND Code of Practice: 0-25 years</w:t>
      </w:r>
      <w:r w:rsidR="000A1AF3">
        <w:rPr>
          <w:rFonts w:asciiTheme="minorHAnsi" w:hAnsiTheme="minorHAnsi"/>
          <w:sz w:val="24"/>
          <w:szCs w:val="24"/>
        </w:rPr>
        <w:t xml:space="preserve"> (January 2015</w:t>
      </w:r>
      <w:r w:rsidR="003D08E6">
        <w:rPr>
          <w:rFonts w:asciiTheme="minorHAnsi" w:hAnsiTheme="minorHAnsi"/>
          <w:sz w:val="24"/>
          <w:szCs w:val="24"/>
        </w:rPr>
        <w:t>) as progress which</w:t>
      </w:r>
      <w:r w:rsidRPr="00A07401">
        <w:rPr>
          <w:rFonts w:asciiTheme="minorHAnsi" w:hAnsiTheme="minorHAnsi"/>
          <w:sz w:val="24"/>
          <w:szCs w:val="24"/>
        </w:rPr>
        <w:t>:</w:t>
      </w:r>
    </w:p>
    <w:p w:rsidR="00A07401" w:rsidRPr="00A07401" w:rsidRDefault="00A07401" w:rsidP="00A07401">
      <w:pPr>
        <w:pStyle w:val="Default"/>
        <w:rPr>
          <w:rFonts w:asciiTheme="minorHAnsi" w:hAnsiTheme="minorHAnsi"/>
        </w:rPr>
      </w:pPr>
    </w:p>
    <w:p w:rsidR="00A07401" w:rsidRPr="00A07401" w:rsidRDefault="00A07401" w:rsidP="00A07401">
      <w:pPr>
        <w:pStyle w:val="Default"/>
        <w:spacing w:after="200"/>
        <w:ind w:left="992" w:hanging="427"/>
        <w:rPr>
          <w:rFonts w:asciiTheme="minorHAnsi" w:hAnsiTheme="minorHAnsi"/>
        </w:rPr>
      </w:pPr>
      <w:r w:rsidRPr="00A07401">
        <w:rPr>
          <w:rFonts w:asciiTheme="minorHAnsi" w:hAnsiTheme="minorHAnsi"/>
        </w:rPr>
        <w:t xml:space="preserve">• is significantly slower than that of their peers starting from the same baseline </w:t>
      </w:r>
    </w:p>
    <w:p w:rsidR="00A07401" w:rsidRPr="00A07401" w:rsidRDefault="00A07401" w:rsidP="00A07401">
      <w:pPr>
        <w:pStyle w:val="Default"/>
        <w:spacing w:after="200"/>
        <w:ind w:left="992" w:hanging="427"/>
        <w:rPr>
          <w:rFonts w:asciiTheme="minorHAnsi" w:hAnsiTheme="minorHAnsi"/>
        </w:rPr>
      </w:pPr>
      <w:r w:rsidRPr="00A07401">
        <w:rPr>
          <w:rFonts w:asciiTheme="minorHAnsi" w:hAnsiTheme="minorHAnsi"/>
        </w:rPr>
        <w:t xml:space="preserve">• fails to match or better the child’s previous rate of progress </w:t>
      </w:r>
    </w:p>
    <w:p w:rsidR="00A07401" w:rsidRPr="00A07401" w:rsidRDefault="00A07401" w:rsidP="00A07401">
      <w:pPr>
        <w:pStyle w:val="Default"/>
        <w:spacing w:after="200"/>
        <w:ind w:left="992" w:hanging="427"/>
        <w:rPr>
          <w:rFonts w:asciiTheme="minorHAnsi" w:hAnsiTheme="minorHAnsi"/>
        </w:rPr>
      </w:pPr>
      <w:r w:rsidRPr="00A07401">
        <w:rPr>
          <w:rFonts w:asciiTheme="minorHAnsi" w:hAnsiTheme="minorHAnsi"/>
        </w:rPr>
        <w:t xml:space="preserve">• fails to close the attainment gap between the child and their peers </w:t>
      </w:r>
    </w:p>
    <w:p w:rsidR="00A07401" w:rsidRPr="00A07401" w:rsidRDefault="00A07401" w:rsidP="00A07401">
      <w:pPr>
        <w:pStyle w:val="Default"/>
        <w:spacing w:after="240"/>
        <w:ind w:left="992" w:hanging="427"/>
        <w:rPr>
          <w:rFonts w:asciiTheme="minorHAnsi" w:hAnsiTheme="minorHAnsi"/>
        </w:rPr>
      </w:pPr>
      <w:r w:rsidRPr="00A07401">
        <w:rPr>
          <w:rFonts w:asciiTheme="minorHAnsi" w:hAnsiTheme="minorHAnsi"/>
        </w:rPr>
        <w:t xml:space="preserve">• widens the attainment gap </w:t>
      </w:r>
    </w:p>
    <w:p w:rsidR="00B879DE" w:rsidRPr="00BF7736" w:rsidRDefault="00A07401" w:rsidP="00B879DE">
      <w:pPr>
        <w:ind w:right="141"/>
        <w:rPr>
          <w:sz w:val="24"/>
          <w:szCs w:val="22"/>
        </w:rPr>
      </w:pPr>
      <w:r w:rsidRPr="00B879DE">
        <w:rPr>
          <w:sz w:val="24"/>
          <w:szCs w:val="22"/>
        </w:rPr>
        <w:t xml:space="preserve"> </w:t>
      </w:r>
      <w:r w:rsidR="000A1AF3">
        <w:rPr>
          <w:sz w:val="24"/>
          <w:szCs w:val="22"/>
        </w:rPr>
        <w:t>If children</w:t>
      </w:r>
      <w:r w:rsidR="00B879DE" w:rsidRPr="00BF7736">
        <w:rPr>
          <w:sz w:val="24"/>
          <w:szCs w:val="22"/>
        </w:rPr>
        <w:t xml:space="preserve"> continue to make inadequate progress, despite high-quality teaching and appropriate universal and inclusive provision, targeted at their areas of need, the class teacher</w:t>
      </w:r>
      <w:r w:rsidR="000A1AF3">
        <w:rPr>
          <w:sz w:val="24"/>
          <w:szCs w:val="22"/>
        </w:rPr>
        <w:t>, practitioner</w:t>
      </w:r>
      <w:r w:rsidR="00B879DE" w:rsidRPr="00BF7736">
        <w:rPr>
          <w:sz w:val="24"/>
          <w:szCs w:val="22"/>
        </w:rPr>
        <w:t xml:space="preserve"> and SENC</w:t>
      </w:r>
      <w:r w:rsidR="00BF7736" w:rsidRPr="00BF7736">
        <w:rPr>
          <w:sz w:val="24"/>
          <w:szCs w:val="22"/>
        </w:rPr>
        <w:t>O</w:t>
      </w:r>
      <w:r w:rsidR="00B879DE" w:rsidRPr="00BF7736">
        <w:rPr>
          <w:sz w:val="24"/>
          <w:szCs w:val="22"/>
        </w:rPr>
        <w:t xml:space="preserve"> should assess whether the child requires SEN support, using the cycle of:</w:t>
      </w:r>
    </w:p>
    <w:p w:rsidR="00B879DE" w:rsidRPr="00BF7736" w:rsidRDefault="00B879DE" w:rsidP="00B879DE">
      <w:pPr>
        <w:ind w:right="141"/>
        <w:rPr>
          <w:sz w:val="24"/>
          <w:szCs w:val="22"/>
        </w:rPr>
      </w:pPr>
    </w:p>
    <w:p w:rsidR="00B879DE" w:rsidRPr="00BF7736" w:rsidRDefault="00B879DE" w:rsidP="009725F9">
      <w:pPr>
        <w:numPr>
          <w:ilvl w:val="0"/>
          <w:numId w:val="4"/>
        </w:numPr>
        <w:ind w:left="284" w:right="141"/>
        <w:rPr>
          <w:sz w:val="24"/>
          <w:szCs w:val="22"/>
        </w:rPr>
      </w:pPr>
      <w:r w:rsidRPr="00BF7736">
        <w:rPr>
          <w:sz w:val="24"/>
          <w:szCs w:val="22"/>
        </w:rPr>
        <w:t>Assess</w:t>
      </w:r>
    </w:p>
    <w:p w:rsidR="000A293E" w:rsidRPr="00BF7736" w:rsidRDefault="00B879DE" w:rsidP="009725F9">
      <w:pPr>
        <w:numPr>
          <w:ilvl w:val="0"/>
          <w:numId w:val="4"/>
        </w:numPr>
        <w:ind w:left="284" w:right="141"/>
        <w:rPr>
          <w:sz w:val="24"/>
          <w:szCs w:val="22"/>
        </w:rPr>
      </w:pPr>
      <w:r w:rsidRPr="00BF7736">
        <w:rPr>
          <w:sz w:val="24"/>
          <w:szCs w:val="22"/>
        </w:rPr>
        <w:t>Plan</w:t>
      </w:r>
    </w:p>
    <w:p w:rsidR="00B879DE" w:rsidRPr="00BF7736" w:rsidRDefault="00B879DE" w:rsidP="009725F9">
      <w:pPr>
        <w:numPr>
          <w:ilvl w:val="0"/>
          <w:numId w:val="4"/>
        </w:numPr>
        <w:ind w:left="284" w:right="141"/>
        <w:rPr>
          <w:sz w:val="24"/>
          <w:szCs w:val="22"/>
        </w:rPr>
      </w:pPr>
      <w:r w:rsidRPr="00BF7736">
        <w:rPr>
          <w:sz w:val="24"/>
          <w:szCs w:val="22"/>
        </w:rPr>
        <w:t>Do</w:t>
      </w:r>
    </w:p>
    <w:p w:rsidR="00B879DE" w:rsidRPr="00BF7736" w:rsidRDefault="00B879DE" w:rsidP="009725F9">
      <w:pPr>
        <w:numPr>
          <w:ilvl w:val="0"/>
          <w:numId w:val="4"/>
        </w:numPr>
        <w:ind w:left="284" w:right="141"/>
        <w:rPr>
          <w:sz w:val="24"/>
          <w:szCs w:val="22"/>
        </w:rPr>
      </w:pPr>
      <w:r w:rsidRPr="00BF7736">
        <w:rPr>
          <w:sz w:val="24"/>
          <w:szCs w:val="22"/>
        </w:rPr>
        <w:t>Review</w:t>
      </w:r>
    </w:p>
    <w:p w:rsidR="00B879DE" w:rsidRPr="00BF7736" w:rsidRDefault="00B879DE" w:rsidP="00B879DE">
      <w:pPr>
        <w:ind w:right="141"/>
        <w:rPr>
          <w:sz w:val="24"/>
          <w:szCs w:val="22"/>
        </w:rPr>
      </w:pPr>
    </w:p>
    <w:p w:rsidR="000A293E" w:rsidRPr="00204AE2" w:rsidRDefault="000A293E" w:rsidP="00BF7736">
      <w:pPr>
        <w:pStyle w:val="Instruction"/>
        <w:rPr>
          <w:i/>
          <w:iCs/>
          <w:sz w:val="24"/>
          <w:szCs w:val="24"/>
        </w:rPr>
      </w:pPr>
      <w:r w:rsidRPr="00204AE2">
        <w:rPr>
          <w:szCs w:val="22"/>
        </w:rPr>
        <w:t>What are the areas of special educational need?</w:t>
      </w:r>
    </w:p>
    <w:p w:rsidR="000A293E" w:rsidRPr="00204AE2" w:rsidRDefault="000A293E" w:rsidP="000A293E">
      <w:pPr>
        <w:ind w:right="141"/>
        <w:rPr>
          <w:sz w:val="24"/>
          <w:szCs w:val="24"/>
        </w:rPr>
      </w:pPr>
      <w:r w:rsidRPr="00204AE2">
        <w:rPr>
          <w:sz w:val="24"/>
          <w:szCs w:val="24"/>
        </w:rPr>
        <w:t xml:space="preserve">There is a wide spectrum of special educational needs that are frequently inter-related.  The SEND </w:t>
      </w:r>
      <w:r>
        <w:rPr>
          <w:sz w:val="24"/>
          <w:szCs w:val="24"/>
        </w:rPr>
        <w:t xml:space="preserve">0-25 </w:t>
      </w:r>
      <w:r w:rsidRPr="00204AE2">
        <w:rPr>
          <w:sz w:val="24"/>
          <w:szCs w:val="24"/>
        </w:rPr>
        <w:t>Code of Practice describes difficulties under four broad headings. Children and young people may have needs in</w:t>
      </w:r>
      <w:r w:rsidR="00F46906">
        <w:rPr>
          <w:sz w:val="24"/>
          <w:szCs w:val="24"/>
        </w:rPr>
        <w:t xml:space="preserve"> the areas of</w:t>
      </w:r>
      <w:r w:rsidRPr="00204AE2">
        <w:rPr>
          <w:sz w:val="24"/>
          <w:szCs w:val="24"/>
        </w:rPr>
        <w:t>:</w:t>
      </w:r>
    </w:p>
    <w:p w:rsidR="000A293E" w:rsidRPr="00204AE2" w:rsidRDefault="000A293E" w:rsidP="000A293E">
      <w:pPr>
        <w:ind w:right="141"/>
        <w:rPr>
          <w:color w:val="C0504D" w:themeColor="accent2"/>
          <w:sz w:val="24"/>
          <w:szCs w:val="24"/>
        </w:rPr>
      </w:pPr>
    </w:p>
    <w:p w:rsidR="000A293E" w:rsidRPr="00204AE2" w:rsidRDefault="000A293E" w:rsidP="009725F9">
      <w:pPr>
        <w:pStyle w:val="ListParagraph"/>
        <w:numPr>
          <w:ilvl w:val="0"/>
          <w:numId w:val="1"/>
        </w:numPr>
        <w:spacing w:after="0" w:line="240" w:lineRule="auto"/>
        <w:ind w:left="142" w:right="141" w:hanging="426"/>
        <w:rPr>
          <w:b/>
          <w:bCs/>
          <w:color w:val="C0504D" w:themeColor="accent2"/>
          <w:sz w:val="24"/>
          <w:szCs w:val="24"/>
        </w:rPr>
      </w:pPr>
      <w:r w:rsidRPr="00204AE2">
        <w:rPr>
          <w:b/>
          <w:bCs/>
          <w:color w:val="C0504D" w:themeColor="accent2"/>
          <w:sz w:val="24"/>
          <w:szCs w:val="24"/>
        </w:rPr>
        <w:t xml:space="preserve">communication and interaction </w:t>
      </w:r>
    </w:p>
    <w:p w:rsidR="000A293E" w:rsidRPr="00204AE2" w:rsidRDefault="000A293E" w:rsidP="009725F9">
      <w:pPr>
        <w:numPr>
          <w:ilvl w:val="0"/>
          <w:numId w:val="1"/>
        </w:numPr>
        <w:ind w:left="142" w:right="141" w:hanging="426"/>
        <w:rPr>
          <w:b/>
          <w:bCs/>
          <w:color w:val="4F81BD" w:themeColor="accent1"/>
          <w:sz w:val="24"/>
          <w:szCs w:val="24"/>
        </w:rPr>
      </w:pPr>
      <w:r w:rsidRPr="00204AE2">
        <w:rPr>
          <w:b/>
          <w:bCs/>
          <w:color w:val="4F81BD" w:themeColor="accent1"/>
          <w:sz w:val="24"/>
          <w:szCs w:val="24"/>
        </w:rPr>
        <w:t>cognition and learning</w:t>
      </w:r>
    </w:p>
    <w:p w:rsidR="000A293E" w:rsidRPr="00204AE2" w:rsidRDefault="000A293E" w:rsidP="009725F9">
      <w:pPr>
        <w:numPr>
          <w:ilvl w:val="0"/>
          <w:numId w:val="1"/>
        </w:numPr>
        <w:tabs>
          <w:tab w:val="num" w:pos="142"/>
        </w:tabs>
        <w:ind w:left="-284" w:right="141" w:firstLine="0"/>
        <w:rPr>
          <w:b/>
          <w:bCs/>
          <w:color w:val="8064A2" w:themeColor="accent4"/>
          <w:sz w:val="24"/>
          <w:szCs w:val="24"/>
        </w:rPr>
      </w:pPr>
      <w:r w:rsidRPr="00204AE2">
        <w:rPr>
          <w:b/>
          <w:bCs/>
          <w:color w:val="8064A2" w:themeColor="accent4"/>
          <w:sz w:val="24"/>
          <w:szCs w:val="24"/>
        </w:rPr>
        <w:t>social, emotional and mental health difficulties</w:t>
      </w:r>
    </w:p>
    <w:p w:rsidR="000A293E" w:rsidRPr="00204AE2" w:rsidRDefault="000A293E" w:rsidP="009725F9">
      <w:pPr>
        <w:numPr>
          <w:ilvl w:val="0"/>
          <w:numId w:val="1"/>
        </w:numPr>
        <w:tabs>
          <w:tab w:val="num" w:pos="142"/>
        </w:tabs>
        <w:ind w:left="-284" w:right="141" w:firstLine="0"/>
        <w:rPr>
          <w:b/>
          <w:bCs/>
          <w:color w:val="9BBB59" w:themeColor="accent3"/>
          <w:sz w:val="24"/>
          <w:szCs w:val="24"/>
        </w:rPr>
      </w:pPr>
      <w:proofErr w:type="gramStart"/>
      <w:r w:rsidRPr="00204AE2">
        <w:rPr>
          <w:b/>
          <w:bCs/>
          <w:color w:val="9BBB59" w:themeColor="accent3"/>
          <w:sz w:val="24"/>
          <w:szCs w:val="24"/>
        </w:rPr>
        <w:t>sensory</w:t>
      </w:r>
      <w:proofErr w:type="gramEnd"/>
      <w:r w:rsidRPr="00204AE2">
        <w:rPr>
          <w:b/>
          <w:bCs/>
          <w:color w:val="9BBB59" w:themeColor="accent3"/>
          <w:sz w:val="24"/>
          <w:szCs w:val="24"/>
        </w:rPr>
        <w:t xml:space="preserve"> and/or physical.</w:t>
      </w:r>
    </w:p>
    <w:p w:rsidR="000A293E" w:rsidRDefault="000A293E" w:rsidP="000A293E">
      <w:pPr>
        <w:ind w:right="141"/>
        <w:rPr>
          <w:sz w:val="24"/>
          <w:szCs w:val="24"/>
        </w:rPr>
      </w:pPr>
    </w:p>
    <w:p w:rsidR="000A293E" w:rsidRPr="0044058A" w:rsidRDefault="000A293E" w:rsidP="000A293E">
      <w:pPr>
        <w:ind w:right="141"/>
        <w:rPr>
          <w:b/>
          <w:color w:val="C0504D" w:themeColor="accent2"/>
          <w:sz w:val="24"/>
          <w:szCs w:val="24"/>
        </w:rPr>
      </w:pPr>
      <w:r w:rsidRPr="0044058A">
        <w:rPr>
          <w:b/>
          <w:color w:val="C0504D" w:themeColor="accent2"/>
          <w:sz w:val="24"/>
          <w:szCs w:val="24"/>
        </w:rPr>
        <w:t>Communication and interaction</w:t>
      </w:r>
    </w:p>
    <w:p w:rsidR="00072688" w:rsidRDefault="000A293E" w:rsidP="00072688">
      <w:pPr>
        <w:ind w:right="141"/>
        <w:rPr>
          <w:sz w:val="24"/>
          <w:szCs w:val="24"/>
        </w:rPr>
      </w:pPr>
      <w:r>
        <w:rPr>
          <w:sz w:val="24"/>
          <w:szCs w:val="24"/>
        </w:rPr>
        <w:t>This incorporates speech and language and social communication and interaction.  Where children have physical and sensory difficulties that are related to a diagnosis of a social communication difficulty, then these needs should be considered here.</w:t>
      </w:r>
    </w:p>
    <w:p w:rsidR="00B66D25" w:rsidRDefault="00B66D25">
      <w:pPr>
        <w:spacing w:after="200" w:line="276" w:lineRule="auto"/>
        <w:ind w:left="0" w:right="0"/>
        <w:rPr>
          <w:sz w:val="24"/>
          <w:szCs w:val="24"/>
        </w:rPr>
      </w:pPr>
      <w:r>
        <w:rPr>
          <w:sz w:val="24"/>
          <w:szCs w:val="24"/>
        </w:rPr>
        <w:br w:type="page"/>
      </w:r>
    </w:p>
    <w:p w:rsidR="000A293E" w:rsidRPr="0044058A" w:rsidRDefault="000A293E" w:rsidP="00072688">
      <w:pPr>
        <w:ind w:right="141"/>
        <w:rPr>
          <w:b/>
          <w:color w:val="4F81BD" w:themeColor="accent1"/>
          <w:sz w:val="24"/>
          <w:szCs w:val="24"/>
        </w:rPr>
      </w:pPr>
      <w:r w:rsidRPr="0044058A">
        <w:rPr>
          <w:b/>
          <w:color w:val="4F81BD" w:themeColor="accent1"/>
          <w:sz w:val="24"/>
          <w:szCs w:val="24"/>
        </w:rPr>
        <w:lastRenderedPageBreak/>
        <w:t>Cognition and learning</w:t>
      </w:r>
    </w:p>
    <w:p w:rsidR="000A293E" w:rsidRDefault="000A293E" w:rsidP="000A293E">
      <w:pPr>
        <w:ind w:right="141"/>
        <w:rPr>
          <w:sz w:val="24"/>
          <w:szCs w:val="24"/>
        </w:rPr>
      </w:pPr>
      <w:r>
        <w:rPr>
          <w:sz w:val="24"/>
          <w:szCs w:val="24"/>
        </w:rPr>
        <w:t xml:space="preserve">This includes children who have both specific and more generalised learning needs.  It encompasses a wide range of needs from moderate difficulties to those with severe and profound and multiple learning difficulties, </w:t>
      </w:r>
      <w:r w:rsidR="000A1AF3">
        <w:rPr>
          <w:sz w:val="24"/>
          <w:szCs w:val="24"/>
        </w:rPr>
        <w:t>which</w:t>
      </w:r>
      <w:r>
        <w:rPr>
          <w:sz w:val="24"/>
          <w:szCs w:val="24"/>
        </w:rPr>
        <w:t xml:space="preserve"> may have associated physical and sensory needs.</w:t>
      </w:r>
    </w:p>
    <w:p w:rsidR="000A293E" w:rsidRDefault="000A293E" w:rsidP="000A293E">
      <w:pPr>
        <w:ind w:right="141"/>
        <w:rPr>
          <w:sz w:val="24"/>
          <w:szCs w:val="24"/>
        </w:rPr>
      </w:pPr>
    </w:p>
    <w:p w:rsidR="000A293E" w:rsidRPr="0044058A" w:rsidRDefault="000A293E" w:rsidP="000A293E">
      <w:pPr>
        <w:ind w:right="141"/>
        <w:rPr>
          <w:b/>
          <w:color w:val="8064A2" w:themeColor="accent4"/>
          <w:sz w:val="24"/>
          <w:szCs w:val="24"/>
        </w:rPr>
      </w:pPr>
      <w:r w:rsidRPr="0044058A">
        <w:rPr>
          <w:b/>
          <w:color w:val="8064A2" w:themeColor="accent4"/>
          <w:sz w:val="24"/>
          <w:szCs w:val="24"/>
        </w:rPr>
        <w:t>Social, emotional and mental health difficulties</w:t>
      </w:r>
    </w:p>
    <w:p w:rsidR="00647600" w:rsidRDefault="000A293E" w:rsidP="00B62EA1">
      <w:pPr>
        <w:ind w:right="141"/>
        <w:rPr>
          <w:sz w:val="24"/>
          <w:szCs w:val="24"/>
        </w:rPr>
      </w:pPr>
      <w:r w:rsidRPr="00B62EA1">
        <w:rPr>
          <w:sz w:val="24"/>
          <w:szCs w:val="24"/>
        </w:rPr>
        <w:t xml:space="preserve">This replaces the category of ‘Behaviour, emotional and social difficulties’ in recognition of the importance of understanding the needs that lie behind the behaviour.  </w:t>
      </w:r>
      <w:r w:rsidR="00647600">
        <w:rPr>
          <w:sz w:val="24"/>
          <w:szCs w:val="24"/>
        </w:rPr>
        <w:t xml:space="preserve">Often, the behaviours exhibited by children and young people with needs in this category are not specific to </w:t>
      </w:r>
      <w:r w:rsidR="00165184">
        <w:rPr>
          <w:sz w:val="24"/>
          <w:szCs w:val="24"/>
        </w:rPr>
        <w:t>social</w:t>
      </w:r>
      <w:r w:rsidR="00647600">
        <w:rPr>
          <w:sz w:val="24"/>
          <w:szCs w:val="24"/>
        </w:rPr>
        <w:t xml:space="preserve">, emotional or mental health needs in isolation but are due to a combination of these needs.  Strategies and interventions listed in this document are therefore not always specific to social, emotional or mental health needs, but in supporting the combination of these needs.  </w:t>
      </w:r>
    </w:p>
    <w:p w:rsidR="00647600" w:rsidRDefault="00647600" w:rsidP="00B62EA1">
      <w:pPr>
        <w:ind w:right="141"/>
        <w:rPr>
          <w:sz w:val="24"/>
          <w:szCs w:val="24"/>
        </w:rPr>
      </w:pPr>
    </w:p>
    <w:p w:rsidR="00D41D99" w:rsidRPr="00B62EA1" w:rsidRDefault="00DA5FC2" w:rsidP="00B62EA1">
      <w:pPr>
        <w:ind w:right="141"/>
        <w:rPr>
          <w:sz w:val="22"/>
          <w:szCs w:val="22"/>
        </w:rPr>
      </w:pPr>
      <w:r>
        <w:rPr>
          <w:sz w:val="24"/>
          <w:szCs w:val="24"/>
        </w:rPr>
        <w:t>Children</w:t>
      </w:r>
      <w:r w:rsidR="00B62EA1" w:rsidRPr="00B62EA1">
        <w:rPr>
          <w:sz w:val="24"/>
          <w:szCs w:val="24"/>
        </w:rPr>
        <w:t xml:space="preserve"> with SEN in this area </w:t>
      </w:r>
      <w:r w:rsidR="00D41D99" w:rsidRPr="00B62EA1">
        <w:rPr>
          <w:rFonts w:asciiTheme="minorHAnsi" w:hAnsiTheme="minorHAnsi"/>
          <w:sz w:val="24"/>
          <w:szCs w:val="24"/>
          <w:lang w:eastAsia="ar-SA"/>
        </w:rPr>
        <w:t xml:space="preserve">may </w:t>
      </w:r>
      <w:r w:rsidR="00B62EA1" w:rsidRPr="00B62EA1">
        <w:rPr>
          <w:rFonts w:asciiTheme="minorHAnsi" w:hAnsiTheme="minorHAnsi"/>
          <w:sz w:val="24"/>
          <w:szCs w:val="24"/>
          <w:lang w:eastAsia="ar-SA"/>
        </w:rPr>
        <w:t>have</w:t>
      </w:r>
      <w:r w:rsidR="00D41D99" w:rsidRPr="00B62EA1">
        <w:rPr>
          <w:rFonts w:asciiTheme="minorHAnsi" w:hAnsiTheme="minorHAnsi"/>
          <w:sz w:val="24"/>
          <w:szCs w:val="24"/>
          <w:lang w:eastAsia="ar-SA"/>
        </w:rPr>
        <w:t xml:space="preserve"> difficulties with mood, such as </w:t>
      </w:r>
      <w:r w:rsidR="00D41D99" w:rsidRPr="00B62EA1">
        <w:rPr>
          <w:rFonts w:asciiTheme="minorHAnsi" w:hAnsiTheme="minorHAnsi"/>
          <w:sz w:val="24"/>
          <w:szCs w:val="24"/>
        </w:rPr>
        <w:t xml:space="preserve">becoming withdrawn or </w:t>
      </w:r>
      <w:proofErr w:type="gramStart"/>
      <w:r w:rsidR="00D41D99" w:rsidRPr="00B62EA1">
        <w:rPr>
          <w:rFonts w:asciiTheme="minorHAnsi" w:hAnsiTheme="minorHAnsi"/>
          <w:sz w:val="24"/>
          <w:szCs w:val="24"/>
        </w:rPr>
        <w:t>isolated,</w:t>
      </w:r>
      <w:proofErr w:type="gramEnd"/>
      <w:r w:rsidR="00D41D99" w:rsidRPr="00B62EA1">
        <w:rPr>
          <w:rFonts w:asciiTheme="minorHAnsi" w:hAnsiTheme="minorHAnsi"/>
          <w:sz w:val="24"/>
          <w:szCs w:val="24"/>
        </w:rPr>
        <w:t xml:space="preserve"> hav</w:t>
      </w:r>
      <w:r w:rsidR="00B62EA1" w:rsidRPr="00B62EA1">
        <w:rPr>
          <w:rFonts w:asciiTheme="minorHAnsi" w:hAnsiTheme="minorHAnsi"/>
          <w:sz w:val="24"/>
          <w:szCs w:val="24"/>
        </w:rPr>
        <w:t>e</w:t>
      </w:r>
      <w:r w:rsidR="00D41D99" w:rsidRPr="00B62EA1">
        <w:rPr>
          <w:rFonts w:asciiTheme="minorHAnsi" w:hAnsiTheme="minorHAnsi"/>
          <w:sz w:val="24"/>
          <w:szCs w:val="24"/>
        </w:rPr>
        <w:t xml:space="preserve"> immature social skills or lack of concentration and/or hyperactivity, which often occur alongside challenging, disruptive or disturbing</w:t>
      </w:r>
      <w:r w:rsidR="00D72586">
        <w:rPr>
          <w:rFonts w:asciiTheme="minorHAnsi" w:hAnsiTheme="minorHAnsi"/>
          <w:sz w:val="24"/>
          <w:szCs w:val="24"/>
        </w:rPr>
        <w:t xml:space="preserve"> behaviour such as self-harming.  </w:t>
      </w:r>
      <w:r w:rsidR="00D41D99" w:rsidRPr="00B62EA1">
        <w:rPr>
          <w:rFonts w:asciiTheme="minorHAnsi" w:hAnsiTheme="minorHAnsi"/>
          <w:sz w:val="24"/>
          <w:szCs w:val="24"/>
        </w:rPr>
        <w:t xml:space="preserve"> </w:t>
      </w:r>
      <w:r w:rsidR="00B62EA1" w:rsidRPr="00B62EA1">
        <w:rPr>
          <w:rFonts w:asciiTheme="minorHAnsi" w:hAnsiTheme="minorHAnsi"/>
          <w:sz w:val="24"/>
          <w:szCs w:val="24"/>
        </w:rPr>
        <w:t>Such</w:t>
      </w:r>
      <w:r w:rsidR="00D41D99" w:rsidRPr="00B62EA1">
        <w:rPr>
          <w:rFonts w:asciiTheme="minorHAnsi" w:hAnsiTheme="minorHAnsi"/>
          <w:sz w:val="24"/>
          <w:szCs w:val="24"/>
        </w:rPr>
        <w:t xml:space="preserve"> behaviours may reflect </w:t>
      </w:r>
      <w:r w:rsidR="00D72586">
        <w:rPr>
          <w:rFonts w:asciiTheme="minorHAnsi" w:hAnsiTheme="minorHAnsi"/>
          <w:sz w:val="24"/>
          <w:szCs w:val="24"/>
        </w:rPr>
        <w:t xml:space="preserve">an </w:t>
      </w:r>
      <w:r w:rsidR="00D41D99" w:rsidRPr="00B62EA1">
        <w:rPr>
          <w:rFonts w:asciiTheme="minorHAnsi" w:hAnsiTheme="minorHAnsi"/>
          <w:sz w:val="24"/>
          <w:szCs w:val="24"/>
        </w:rPr>
        <w:t>underlying ment</w:t>
      </w:r>
      <w:r w:rsidR="00D72586">
        <w:rPr>
          <w:rFonts w:asciiTheme="minorHAnsi" w:hAnsiTheme="minorHAnsi"/>
          <w:sz w:val="24"/>
          <w:szCs w:val="24"/>
        </w:rPr>
        <w:t>al health difficulty</w:t>
      </w:r>
      <w:r w:rsidR="00B62EA1" w:rsidRPr="00B62EA1">
        <w:rPr>
          <w:rFonts w:asciiTheme="minorHAnsi" w:hAnsiTheme="minorHAnsi"/>
          <w:sz w:val="24"/>
          <w:szCs w:val="24"/>
        </w:rPr>
        <w:t>, although it</w:t>
      </w:r>
      <w:r w:rsidR="00B62EA1" w:rsidRPr="00B62EA1">
        <w:rPr>
          <w:sz w:val="24"/>
          <w:szCs w:val="24"/>
        </w:rPr>
        <w:t xml:space="preserve"> is not necessary for a </w:t>
      </w:r>
      <w:r w:rsidR="001C75F9">
        <w:rPr>
          <w:sz w:val="24"/>
          <w:szCs w:val="24"/>
        </w:rPr>
        <w:t>child</w:t>
      </w:r>
      <w:r w:rsidR="00B62EA1" w:rsidRPr="00B62EA1">
        <w:rPr>
          <w:sz w:val="24"/>
          <w:szCs w:val="24"/>
        </w:rPr>
        <w:t xml:space="preserve"> to have a diagnosed mental health difficulty in order to access SEN support in this area. O</w:t>
      </w:r>
      <w:r w:rsidR="00B62EA1" w:rsidRPr="00B62EA1">
        <w:rPr>
          <w:rFonts w:asciiTheme="minorHAnsi" w:hAnsiTheme="minorHAnsi"/>
          <w:sz w:val="24"/>
          <w:szCs w:val="24"/>
        </w:rPr>
        <w:t xml:space="preserve">nly medical professionals should make a formal diagnosis of a mental health condition; however </w:t>
      </w:r>
      <w:r w:rsidR="00051480">
        <w:rPr>
          <w:rFonts w:asciiTheme="minorHAnsi" w:hAnsiTheme="minorHAnsi"/>
          <w:sz w:val="24"/>
          <w:szCs w:val="24"/>
        </w:rPr>
        <w:t xml:space="preserve">education </w:t>
      </w:r>
      <w:proofErr w:type="gramStart"/>
      <w:r w:rsidR="00051480">
        <w:rPr>
          <w:rFonts w:asciiTheme="minorHAnsi" w:hAnsiTheme="minorHAnsi"/>
          <w:sz w:val="24"/>
          <w:szCs w:val="24"/>
        </w:rPr>
        <w:t>staff</w:t>
      </w:r>
      <w:r w:rsidR="00B62EA1" w:rsidRPr="00B62EA1">
        <w:rPr>
          <w:rFonts w:asciiTheme="minorHAnsi" w:hAnsiTheme="minorHAnsi"/>
          <w:sz w:val="24"/>
          <w:szCs w:val="24"/>
        </w:rPr>
        <w:t xml:space="preserve"> are</w:t>
      </w:r>
      <w:proofErr w:type="gramEnd"/>
      <w:r w:rsidR="00B62EA1" w:rsidRPr="00B62EA1">
        <w:rPr>
          <w:rFonts w:asciiTheme="minorHAnsi" w:hAnsiTheme="minorHAnsi"/>
          <w:sz w:val="24"/>
          <w:szCs w:val="24"/>
        </w:rPr>
        <w:t xml:space="preserve"> well-placed to observe children day-to-day and identify those whose behaviour suggests that they may require SEN support in this area</w:t>
      </w:r>
      <w:r w:rsidR="00B62EA1" w:rsidRPr="00051480">
        <w:rPr>
          <w:rFonts w:asciiTheme="minorHAnsi" w:hAnsiTheme="minorHAnsi"/>
          <w:sz w:val="24"/>
          <w:szCs w:val="24"/>
        </w:rPr>
        <w:t xml:space="preserve">.  </w:t>
      </w:r>
      <w:r w:rsidR="003D08E6" w:rsidRPr="00051480">
        <w:rPr>
          <w:rFonts w:asciiTheme="minorHAnsi" w:hAnsiTheme="minorHAnsi"/>
          <w:sz w:val="24"/>
          <w:szCs w:val="24"/>
        </w:rPr>
        <w:t>Schools</w:t>
      </w:r>
      <w:r w:rsidR="000A1AF3">
        <w:rPr>
          <w:rFonts w:asciiTheme="minorHAnsi" w:hAnsiTheme="minorHAnsi"/>
          <w:sz w:val="24"/>
          <w:szCs w:val="24"/>
        </w:rPr>
        <w:t xml:space="preserve"> and</w:t>
      </w:r>
      <w:r w:rsidR="005007F4">
        <w:rPr>
          <w:rFonts w:asciiTheme="minorHAnsi" w:hAnsiTheme="minorHAnsi"/>
          <w:sz w:val="24"/>
          <w:szCs w:val="24"/>
        </w:rPr>
        <w:t xml:space="preserve"> settings</w:t>
      </w:r>
      <w:r w:rsidR="003D08E6" w:rsidRPr="00051480">
        <w:rPr>
          <w:rFonts w:asciiTheme="minorHAnsi" w:hAnsiTheme="minorHAnsi"/>
          <w:sz w:val="24"/>
          <w:szCs w:val="24"/>
        </w:rPr>
        <w:t xml:space="preserve"> should consult</w:t>
      </w:r>
      <w:r w:rsidR="003F00CF">
        <w:rPr>
          <w:rFonts w:asciiTheme="minorHAnsi" w:hAnsiTheme="minorHAnsi"/>
          <w:color w:val="FF0000"/>
          <w:sz w:val="24"/>
          <w:szCs w:val="24"/>
        </w:rPr>
        <w:t xml:space="preserve"> </w:t>
      </w:r>
      <w:hyperlink r:id="rId21" w:history="1">
        <w:r w:rsidR="003D08E6" w:rsidRPr="00051480">
          <w:rPr>
            <w:rStyle w:val="Hyperlink"/>
            <w:rFonts w:asciiTheme="minorHAnsi" w:hAnsiTheme="minorHAnsi"/>
            <w:sz w:val="24"/>
            <w:szCs w:val="24"/>
          </w:rPr>
          <w:t>CAMHS referral criteria</w:t>
        </w:r>
      </w:hyperlink>
      <w:r w:rsidR="003D08E6" w:rsidRPr="00051480">
        <w:rPr>
          <w:rFonts w:asciiTheme="minorHAnsi" w:hAnsiTheme="minorHAnsi"/>
          <w:sz w:val="24"/>
          <w:szCs w:val="24"/>
        </w:rPr>
        <w:t xml:space="preserve"> to clarify whether their involvement is desirable.</w:t>
      </w:r>
    </w:p>
    <w:p w:rsidR="000A293E" w:rsidRDefault="000A293E" w:rsidP="000A293E">
      <w:pPr>
        <w:ind w:right="141"/>
        <w:rPr>
          <w:sz w:val="24"/>
          <w:szCs w:val="24"/>
        </w:rPr>
      </w:pPr>
    </w:p>
    <w:p w:rsidR="000A293E" w:rsidRPr="0044058A" w:rsidRDefault="000A293E" w:rsidP="000A293E">
      <w:pPr>
        <w:ind w:right="141"/>
        <w:rPr>
          <w:b/>
          <w:color w:val="9BBB59" w:themeColor="accent3"/>
          <w:sz w:val="24"/>
          <w:szCs w:val="24"/>
        </w:rPr>
      </w:pPr>
      <w:r w:rsidRPr="0044058A">
        <w:rPr>
          <w:b/>
          <w:color w:val="9BBB59" w:themeColor="accent3"/>
          <w:sz w:val="24"/>
          <w:szCs w:val="24"/>
        </w:rPr>
        <w:t>Sensory and/or physical needs</w:t>
      </w:r>
    </w:p>
    <w:p w:rsidR="000A293E" w:rsidRDefault="000A293E" w:rsidP="000A293E">
      <w:pPr>
        <w:ind w:right="141"/>
        <w:rPr>
          <w:sz w:val="24"/>
          <w:szCs w:val="24"/>
        </w:rPr>
      </w:pPr>
      <w:r>
        <w:rPr>
          <w:sz w:val="24"/>
          <w:szCs w:val="24"/>
        </w:rPr>
        <w:t xml:space="preserve">Children </w:t>
      </w:r>
      <w:r w:rsidRPr="0044058A">
        <w:rPr>
          <w:sz w:val="24"/>
          <w:szCs w:val="24"/>
        </w:rPr>
        <w:t>with a diagnosed physical</w:t>
      </w:r>
      <w:r>
        <w:rPr>
          <w:sz w:val="24"/>
          <w:szCs w:val="24"/>
        </w:rPr>
        <w:t xml:space="preserve"> or sensory</w:t>
      </w:r>
      <w:r w:rsidRPr="0044058A">
        <w:rPr>
          <w:sz w:val="24"/>
          <w:szCs w:val="24"/>
        </w:rPr>
        <w:t xml:space="preserve"> impairment do not necessarily have SEN although they may be conside</w:t>
      </w:r>
      <w:r w:rsidR="00CA487C">
        <w:rPr>
          <w:sz w:val="24"/>
          <w:szCs w:val="24"/>
        </w:rPr>
        <w:t xml:space="preserve">red as </w:t>
      </w:r>
      <w:r w:rsidR="003D08E6">
        <w:rPr>
          <w:sz w:val="24"/>
          <w:szCs w:val="24"/>
        </w:rPr>
        <w:t>d</w:t>
      </w:r>
      <w:r w:rsidR="00CA487C">
        <w:rPr>
          <w:sz w:val="24"/>
          <w:szCs w:val="24"/>
        </w:rPr>
        <w:t xml:space="preserve">isabled.  Some children </w:t>
      </w:r>
      <w:r w:rsidRPr="0044058A">
        <w:rPr>
          <w:sz w:val="24"/>
          <w:szCs w:val="24"/>
        </w:rPr>
        <w:t xml:space="preserve">with a </w:t>
      </w:r>
      <w:r>
        <w:rPr>
          <w:sz w:val="24"/>
          <w:szCs w:val="24"/>
        </w:rPr>
        <w:t xml:space="preserve">sensory or physical impairment </w:t>
      </w:r>
      <w:r w:rsidRPr="0044058A">
        <w:rPr>
          <w:sz w:val="24"/>
          <w:szCs w:val="24"/>
        </w:rPr>
        <w:t xml:space="preserve">may have special educational needs if </w:t>
      </w:r>
      <w:r>
        <w:rPr>
          <w:sz w:val="24"/>
          <w:szCs w:val="24"/>
        </w:rPr>
        <w:t xml:space="preserve">their </w:t>
      </w:r>
      <w:r w:rsidRPr="0044058A">
        <w:rPr>
          <w:sz w:val="24"/>
          <w:szCs w:val="24"/>
        </w:rPr>
        <w:t>access to the full curriculum or educational attainment</w:t>
      </w:r>
      <w:r>
        <w:rPr>
          <w:sz w:val="24"/>
          <w:szCs w:val="24"/>
        </w:rPr>
        <w:t xml:space="preserve"> is impeded by their impairment</w:t>
      </w:r>
      <w:r w:rsidRPr="0044058A">
        <w:rPr>
          <w:sz w:val="24"/>
          <w:szCs w:val="24"/>
        </w:rPr>
        <w:t xml:space="preserve">. </w:t>
      </w:r>
      <w:r>
        <w:rPr>
          <w:sz w:val="24"/>
          <w:szCs w:val="24"/>
        </w:rPr>
        <w:t xml:space="preserve"> Some children with physical or sensory impairment may require specialist adaptations and equipment to ensure full access to the curriculum.</w:t>
      </w:r>
    </w:p>
    <w:p w:rsidR="000A293E" w:rsidRDefault="000A293E" w:rsidP="000A293E">
      <w:pPr>
        <w:ind w:right="141"/>
        <w:rPr>
          <w:sz w:val="24"/>
          <w:szCs w:val="24"/>
        </w:rPr>
      </w:pPr>
    </w:p>
    <w:p w:rsidR="00165184" w:rsidRPr="00204AE2" w:rsidRDefault="00165184" w:rsidP="00165184">
      <w:pPr>
        <w:pStyle w:val="Instruction"/>
      </w:pPr>
      <w:r>
        <w:t>Identifying needs</w:t>
      </w:r>
    </w:p>
    <w:p w:rsidR="000A293E" w:rsidRDefault="00165184" w:rsidP="000A293E">
      <w:pPr>
        <w:ind w:right="141"/>
        <w:rPr>
          <w:sz w:val="24"/>
          <w:szCs w:val="24"/>
        </w:rPr>
      </w:pPr>
      <w:r w:rsidRPr="00204AE2">
        <w:rPr>
          <w:sz w:val="24"/>
          <w:szCs w:val="24"/>
        </w:rPr>
        <w:t xml:space="preserve">The Wiltshire </w:t>
      </w:r>
      <w:r w:rsidR="001C75F9">
        <w:rPr>
          <w:sz w:val="24"/>
          <w:szCs w:val="24"/>
        </w:rPr>
        <w:t>EY</w:t>
      </w:r>
      <w:r>
        <w:rPr>
          <w:sz w:val="24"/>
          <w:szCs w:val="24"/>
        </w:rPr>
        <w:t xml:space="preserve">GRSS </w:t>
      </w:r>
      <w:r w:rsidRPr="00204AE2">
        <w:rPr>
          <w:sz w:val="24"/>
          <w:szCs w:val="24"/>
        </w:rPr>
        <w:t xml:space="preserve">uses the same </w:t>
      </w:r>
      <w:r>
        <w:rPr>
          <w:sz w:val="24"/>
          <w:szCs w:val="24"/>
        </w:rPr>
        <w:t xml:space="preserve">four </w:t>
      </w:r>
      <w:r w:rsidRPr="00204AE2">
        <w:rPr>
          <w:sz w:val="24"/>
          <w:szCs w:val="24"/>
        </w:rPr>
        <w:t xml:space="preserve">broad headings </w:t>
      </w:r>
      <w:r>
        <w:rPr>
          <w:sz w:val="24"/>
          <w:szCs w:val="24"/>
        </w:rPr>
        <w:t xml:space="preserve">as the </w:t>
      </w:r>
      <w:r w:rsidRPr="00CA487C">
        <w:rPr>
          <w:sz w:val="24"/>
          <w:szCs w:val="24"/>
        </w:rPr>
        <w:t>SEND Co</w:t>
      </w:r>
      <w:r w:rsidR="00740E2C">
        <w:rPr>
          <w:sz w:val="24"/>
          <w:szCs w:val="24"/>
        </w:rPr>
        <w:t>de of Practice: 0-25 years (January 2015</w:t>
      </w:r>
      <w:r w:rsidRPr="00CA487C">
        <w:rPr>
          <w:sz w:val="24"/>
          <w:szCs w:val="24"/>
        </w:rPr>
        <w:t>)</w:t>
      </w:r>
      <w:r>
        <w:rPr>
          <w:sz w:val="24"/>
          <w:szCs w:val="24"/>
        </w:rPr>
        <w:t xml:space="preserve"> </w:t>
      </w:r>
      <w:r w:rsidRPr="00204AE2">
        <w:rPr>
          <w:sz w:val="24"/>
          <w:szCs w:val="24"/>
        </w:rPr>
        <w:t>and breaks them down further where necessary.</w:t>
      </w:r>
      <w:r>
        <w:rPr>
          <w:sz w:val="24"/>
          <w:szCs w:val="24"/>
        </w:rPr>
        <w:t xml:space="preserve">  </w:t>
      </w:r>
      <w:r w:rsidR="000A293E" w:rsidRPr="00204AE2">
        <w:rPr>
          <w:sz w:val="24"/>
          <w:szCs w:val="24"/>
        </w:rPr>
        <w:t xml:space="preserve">It is vital that each child is considered holistically across the areas, to support the development of the most appropriate response to their needs.  </w:t>
      </w:r>
      <w:r w:rsidR="000A293E" w:rsidRPr="00204AE2">
        <w:rPr>
          <w:i/>
          <w:sz w:val="24"/>
          <w:szCs w:val="24"/>
        </w:rPr>
        <w:t>E.g. a child</w:t>
      </w:r>
      <w:r w:rsidR="001C75F9">
        <w:rPr>
          <w:i/>
          <w:sz w:val="24"/>
          <w:szCs w:val="24"/>
        </w:rPr>
        <w:t xml:space="preserve"> </w:t>
      </w:r>
      <w:r w:rsidR="000A293E" w:rsidRPr="00204AE2">
        <w:rPr>
          <w:i/>
          <w:sz w:val="24"/>
          <w:szCs w:val="24"/>
        </w:rPr>
        <w:t>presenting with comprehension difficulties may have limited cognitive ability (</w:t>
      </w:r>
      <w:r w:rsidR="000A293E" w:rsidRPr="00204AE2">
        <w:rPr>
          <w:i/>
          <w:iCs/>
          <w:sz w:val="24"/>
          <w:szCs w:val="24"/>
        </w:rPr>
        <w:t>cognition and learning</w:t>
      </w:r>
      <w:r w:rsidR="000A293E" w:rsidRPr="00204AE2">
        <w:rPr>
          <w:i/>
          <w:sz w:val="24"/>
          <w:szCs w:val="24"/>
        </w:rPr>
        <w:t>) or language processing difficulties (</w:t>
      </w:r>
      <w:r w:rsidR="000A293E" w:rsidRPr="00204AE2">
        <w:rPr>
          <w:i/>
          <w:iCs/>
          <w:sz w:val="24"/>
          <w:szCs w:val="24"/>
        </w:rPr>
        <w:t>communication and interaction</w:t>
      </w:r>
      <w:r w:rsidR="000A293E" w:rsidRPr="00204AE2">
        <w:rPr>
          <w:i/>
          <w:sz w:val="24"/>
          <w:szCs w:val="24"/>
        </w:rPr>
        <w:t xml:space="preserve">).  </w:t>
      </w:r>
    </w:p>
    <w:p w:rsidR="000A293E" w:rsidRDefault="000A293E" w:rsidP="00F62B7A">
      <w:pPr>
        <w:ind w:right="141"/>
        <w:rPr>
          <w:sz w:val="24"/>
          <w:szCs w:val="24"/>
        </w:rPr>
      </w:pPr>
    </w:p>
    <w:p w:rsidR="00F62B7A" w:rsidRPr="00204AE2" w:rsidRDefault="00F62B7A" w:rsidP="00F62B7A">
      <w:pPr>
        <w:ind w:right="141"/>
        <w:rPr>
          <w:i/>
          <w:sz w:val="24"/>
          <w:szCs w:val="24"/>
        </w:rPr>
      </w:pPr>
      <w:r w:rsidRPr="00204AE2">
        <w:rPr>
          <w:sz w:val="24"/>
          <w:szCs w:val="24"/>
        </w:rPr>
        <w:t>A child may also have needs which span</w:t>
      </w:r>
      <w:r w:rsidR="007D1A23" w:rsidRPr="00204AE2">
        <w:rPr>
          <w:sz w:val="24"/>
          <w:szCs w:val="24"/>
        </w:rPr>
        <w:t xml:space="preserve"> two or more areas. </w:t>
      </w:r>
      <w:r w:rsidRPr="00204AE2">
        <w:rPr>
          <w:sz w:val="24"/>
          <w:szCs w:val="24"/>
        </w:rPr>
        <w:t xml:space="preserve"> </w:t>
      </w:r>
      <w:r w:rsidRPr="00204AE2">
        <w:rPr>
          <w:i/>
          <w:sz w:val="24"/>
          <w:szCs w:val="24"/>
        </w:rPr>
        <w:t>E.g. a child with a hearing loss may also experience difficulty with reading and have some emotional needs</w:t>
      </w:r>
      <w:r w:rsidR="007D1A23" w:rsidRPr="00204AE2">
        <w:rPr>
          <w:sz w:val="24"/>
          <w:szCs w:val="24"/>
        </w:rPr>
        <w:t xml:space="preserve">. </w:t>
      </w:r>
      <w:r w:rsidRPr="00204AE2">
        <w:rPr>
          <w:sz w:val="24"/>
          <w:szCs w:val="24"/>
        </w:rPr>
        <w:t xml:space="preserve"> </w:t>
      </w:r>
      <w:r w:rsidR="00694BBA">
        <w:rPr>
          <w:sz w:val="24"/>
          <w:szCs w:val="24"/>
        </w:rPr>
        <w:t xml:space="preserve">However, having needs in more than one area does not mean that a child </w:t>
      </w:r>
      <w:r w:rsidRPr="00204AE2">
        <w:rPr>
          <w:sz w:val="24"/>
          <w:szCs w:val="24"/>
        </w:rPr>
        <w:t>should automatically be regarded as having a more significant level of need</w:t>
      </w:r>
      <w:r w:rsidR="007D1A23" w:rsidRPr="00204AE2">
        <w:rPr>
          <w:i/>
          <w:sz w:val="24"/>
          <w:szCs w:val="24"/>
        </w:rPr>
        <w:t>.</w:t>
      </w:r>
    </w:p>
    <w:p w:rsidR="00F62B7A" w:rsidRPr="00204AE2" w:rsidRDefault="00F62B7A" w:rsidP="00F62B7A">
      <w:pPr>
        <w:ind w:right="141"/>
        <w:rPr>
          <w:i/>
          <w:sz w:val="24"/>
          <w:szCs w:val="24"/>
        </w:rPr>
      </w:pPr>
    </w:p>
    <w:p w:rsidR="00740E2C" w:rsidRDefault="00F62B7A" w:rsidP="00B2668F">
      <w:pPr>
        <w:ind w:right="141"/>
        <w:rPr>
          <w:sz w:val="24"/>
          <w:szCs w:val="24"/>
        </w:rPr>
      </w:pPr>
      <w:r w:rsidRPr="00204AE2">
        <w:rPr>
          <w:sz w:val="24"/>
          <w:szCs w:val="24"/>
        </w:rPr>
        <w:t>A child</w:t>
      </w:r>
      <w:r w:rsidR="001C75F9">
        <w:rPr>
          <w:sz w:val="24"/>
          <w:szCs w:val="24"/>
        </w:rPr>
        <w:t>’s</w:t>
      </w:r>
      <w:r w:rsidRPr="00204AE2">
        <w:rPr>
          <w:sz w:val="24"/>
          <w:szCs w:val="24"/>
        </w:rPr>
        <w:t xml:space="preserve"> </w:t>
      </w:r>
      <w:proofErr w:type="gramStart"/>
      <w:r w:rsidRPr="00204AE2">
        <w:rPr>
          <w:sz w:val="24"/>
          <w:szCs w:val="24"/>
        </w:rPr>
        <w:t>needs can</w:t>
      </w:r>
      <w:proofErr w:type="gramEnd"/>
      <w:r w:rsidRPr="00204AE2">
        <w:rPr>
          <w:sz w:val="24"/>
          <w:szCs w:val="24"/>
        </w:rPr>
        <w:t xml:space="preserve"> arise as a result of their interaction with their environment.</w:t>
      </w:r>
      <w:r w:rsidR="007D1A23" w:rsidRPr="00204AE2">
        <w:rPr>
          <w:sz w:val="24"/>
          <w:szCs w:val="24"/>
        </w:rPr>
        <w:t xml:space="preserve"> </w:t>
      </w:r>
      <w:r w:rsidRPr="00204AE2">
        <w:rPr>
          <w:sz w:val="24"/>
          <w:szCs w:val="24"/>
        </w:rPr>
        <w:t xml:space="preserve"> It is not appropriate to regard all needs as being problems gene</w:t>
      </w:r>
      <w:r w:rsidR="007D1A23" w:rsidRPr="00204AE2">
        <w:rPr>
          <w:sz w:val="24"/>
          <w:szCs w:val="24"/>
        </w:rPr>
        <w:t xml:space="preserve">rated from within individuals. </w:t>
      </w:r>
    </w:p>
    <w:p w:rsidR="00B66D25" w:rsidRDefault="007D1A23" w:rsidP="00B2668F">
      <w:pPr>
        <w:ind w:right="141"/>
        <w:rPr>
          <w:sz w:val="22"/>
          <w:szCs w:val="22"/>
        </w:rPr>
      </w:pPr>
      <w:r w:rsidRPr="00204AE2">
        <w:rPr>
          <w:sz w:val="24"/>
          <w:szCs w:val="24"/>
        </w:rPr>
        <w:lastRenderedPageBreak/>
        <w:t xml:space="preserve"> </w:t>
      </w:r>
      <w:r w:rsidR="00F62B7A" w:rsidRPr="00204AE2">
        <w:rPr>
          <w:sz w:val="24"/>
          <w:szCs w:val="24"/>
        </w:rPr>
        <w:t>It follows that solutions can be foun</w:t>
      </w:r>
      <w:r w:rsidR="00740E2C">
        <w:rPr>
          <w:sz w:val="24"/>
          <w:szCs w:val="24"/>
        </w:rPr>
        <w:t>d in changing the child</w:t>
      </w:r>
      <w:r w:rsidR="00DF093C">
        <w:rPr>
          <w:sz w:val="24"/>
          <w:szCs w:val="24"/>
        </w:rPr>
        <w:t>’s</w:t>
      </w:r>
      <w:r w:rsidR="00F62B7A" w:rsidRPr="00204AE2">
        <w:rPr>
          <w:sz w:val="24"/>
          <w:szCs w:val="24"/>
        </w:rPr>
        <w:t xml:space="preserve"> environment, as well as aspects of the child</w:t>
      </w:r>
      <w:r w:rsidR="00C53CE0">
        <w:rPr>
          <w:sz w:val="24"/>
          <w:szCs w:val="24"/>
        </w:rPr>
        <w:t xml:space="preserve"> </w:t>
      </w:r>
      <w:r w:rsidR="00F62B7A" w:rsidRPr="00204AE2">
        <w:rPr>
          <w:sz w:val="24"/>
          <w:szCs w:val="24"/>
        </w:rPr>
        <w:t xml:space="preserve">themselves. </w:t>
      </w:r>
      <w:r w:rsidRPr="00204AE2">
        <w:rPr>
          <w:sz w:val="24"/>
          <w:szCs w:val="24"/>
        </w:rPr>
        <w:t xml:space="preserve"> </w:t>
      </w:r>
    </w:p>
    <w:p w:rsidR="00072688" w:rsidRDefault="00072688" w:rsidP="00072688">
      <w:pPr>
        <w:ind w:right="141"/>
        <w:rPr>
          <w:sz w:val="22"/>
          <w:szCs w:val="22"/>
        </w:rPr>
      </w:pPr>
    </w:p>
    <w:tbl>
      <w:tblPr>
        <w:tblStyle w:val="TableGrid"/>
        <w:tblW w:w="0" w:type="auto"/>
        <w:tblInd w:w="-176" w:type="dxa"/>
        <w:tblLook w:val="04A0"/>
      </w:tblPr>
      <w:tblGrid>
        <w:gridCol w:w="9747"/>
      </w:tblGrid>
      <w:tr w:rsidR="00072688" w:rsidTr="00EC3573">
        <w:tc>
          <w:tcPr>
            <w:tcW w:w="9747" w:type="dxa"/>
            <w:shd w:val="clear" w:color="auto" w:fill="1F497D" w:themeFill="text2"/>
          </w:tcPr>
          <w:p w:rsidR="00072688" w:rsidRPr="00072688" w:rsidRDefault="001C75F9" w:rsidP="00EC3573">
            <w:pPr>
              <w:pStyle w:val="tab"/>
              <w:rPr>
                <w:b/>
              </w:rPr>
            </w:pPr>
            <w:r>
              <w:rPr>
                <w:b/>
              </w:rPr>
              <w:t xml:space="preserve">Child </w:t>
            </w:r>
            <w:r w:rsidR="00133BCB" w:rsidRPr="00133BCB">
              <w:rPr>
                <w:b/>
              </w:rPr>
              <w:t>profile</w:t>
            </w:r>
            <w:r w:rsidR="00072688" w:rsidRPr="00072688">
              <w:rPr>
                <w:b/>
              </w:rPr>
              <w:t xml:space="preserve">: </w:t>
            </w:r>
            <w:r w:rsidR="00160C8E">
              <w:rPr>
                <w:b/>
              </w:rPr>
              <w:t>Quickchecker</w:t>
            </w:r>
          </w:p>
          <w:p w:rsidR="00072688" w:rsidRDefault="00072688" w:rsidP="00EC3573">
            <w:pPr>
              <w:pStyle w:val="tab"/>
            </w:pPr>
          </w:p>
          <w:p w:rsidR="00160C8E" w:rsidRPr="00160C8E" w:rsidRDefault="00160C8E" w:rsidP="00160C8E">
            <w:pPr>
              <w:pStyle w:val="tab"/>
              <w:ind w:right="141"/>
              <w:rPr>
                <w:sz w:val="28"/>
              </w:rPr>
            </w:pPr>
            <w:r w:rsidRPr="00160C8E">
              <w:rPr>
                <w:sz w:val="28"/>
              </w:rPr>
              <w:t xml:space="preserve">The first element of the </w:t>
            </w:r>
            <w:r w:rsidR="001C75F9">
              <w:rPr>
                <w:b/>
                <w:sz w:val="28"/>
              </w:rPr>
              <w:t>Child</w:t>
            </w:r>
            <w:r w:rsidR="00133BCB" w:rsidRPr="00133BCB">
              <w:rPr>
                <w:b/>
                <w:sz w:val="28"/>
              </w:rPr>
              <w:t xml:space="preserve"> profile</w:t>
            </w:r>
            <w:r w:rsidRPr="00160C8E">
              <w:rPr>
                <w:sz w:val="28"/>
              </w:rPr>
              <w:t xml:space="preserve"> is the ‘</w:t>
            </w:r>
            <w:proofErr w:type="spellStart"/>
            <w:r w:rsidRPr="00160C8E">
              <w:rPr>
                <w:sz w:val="28"/>
              </w:rPr>
              <w:t>quickchecker</w:t>
            </w:r>
            <w:proofErr w:type="spellEnd"/>
            <w:r w:rsidRPr="00160C8E">
              <w:rPr>
                <w:sz w:val="28"/>
              </w:rPr>
              <w:t>’.  This supports practitioners in considering needs across the areas of difficulty so that areas that need further assessment can be identified.</w:t>
            </w:r>
          </w:p>
          <w:p w:rsidR="00072688" w:rsidRDefault="00072688" w:rsidP="00EC3573">
            <w:pPr>
              <w:pStyle w:val="tab"/>
            </w:pPr>
          </w:p>
        </w:tc>
      </w:tr>
    </w:tbl>
    <w:p w:rsidR="00072688" w:rsidRDefault="00072688" w:rsidP="00072688">
      <w:pPr>
        <w:ind w:right="141"/>
        <w:rPr>
          <w:sz w:val="22"/>
          <w:szCs w:val="22"/>
        </w:rPr>
      </w:pPr>
    </w:p>
    <w:p w:rsidR="00072688" w:rsidRDefault="00072688" w:rsidP="00072688">
      <w:pPr>
        <w:spacing w:after="200" w:line="276" w:lineRule="auto"/>
        <w:ind w:left="0" w:right="0"/>
        <w:rPr>
          <w:sz w:val="22"/>
          <w:szCs w:val="22"/>
        </w:rPr>
      </w:pPr>
    </w:p>
    <w:p w:rsidR="00204AE2" w:rsidRDefault="00204AE2">
      <w:pPr>
        <w:spacing w:after="200" w:line="276" w:lineRule="auto"/>
        <w:ind w:left="0" w:right="0"/>
        <w:rPr>
          <w:sz w:val="24"/>
          <w:szCs w:val="24"/>
        </w:rPr>
      </w:pPr>
      <w:r>
        <w:rPr>
          <w:sz w:val="24"/>
          <w:szCs w:val="24"/>
        </w:rPr>
        <w:br w:type="page"/>
      </w:r>
    </w:p>
    <w:p w:rsidR="00F62B7A" w:rsidRDefault="00B879DE" w:rsidP="00B879DE">
      <w:pPr>
        <w:pStyle w:val="In-pageheading"/>
      </w:pPr>
      <w:bookmarkStart w:id="14" w:name="assess"/>
      <w:r>
        <w:lastRenderedPageBreak/>
        <w:t>Assess</w:t>
      </w:r>
    </w:p>
    <w:bookmarkEnd w:id="14"/>
    <w:p w:rsidR="00B879DE" w:rsidRDefault="00B879DE" w:rsidP="00F62B7A">
      <w:pPr>
        <w:ind w:right="141"/>
        <w:rPr>
          <w:sz w:val="24"/>
          <w:szCs w:val="24"/>
        </w:rPr>
      </w:pPr>
    </w:p>
    <w:p w:rsidR="0047495F" w:rsidRPr="0047495F" w:rsidRDefault="00F62B7A" w:rsidP="00F62B7A">
      <w:pPr>
        <w:ind w:right="141"/>
        <w:rPr>
          <w:sz w:val="24"/>
          <w:szCs w:val="22"/>
        </w:rPr>
      </w:pPr>
      <w:r w:rsidRPr="0047495F">
        <w:rPr>
          <w:sz w:val="24"/>
          <w:szCs w:val="22"/>
        </w:rPr>
        <w:t>Once a potential special educational need has been identified, a clear analysis of the needs should be established through the gathering of evidence, including the child’s views, the views of the parents</w:t>
      </w:r>
      <w:r w:rsidR="00C53CE0">
        <w:rPr>
          <w:sz w:val="24"/>
          <w:szCs w:val="22"/>
        </w:rPr>
        <w:t xml:space="preserve"> or carers</w:t>
      </w:r>
      <w:r w:rsidRPr="0047495F">
        <w:rPr>
          <w:sz w:val="24"/>
          <w:szCs w:val="22"/>
        </w:rPr>
        <w:t>, and if relevant, the advice from external support services.</w:t>
      </w:r>
      <w:r w:rsidR="00740E2C">
        <w:rPr>
          <w:sz w:val="24"/>
          <w:szCs w:val="22"/>
        </w:rPr>
        <w:t xml:space="preserve">  Teacher or practitioner </w:t>
      </w:r>
      <w:r w:rsidR="0047495F">
        <w:rPr>
          <w:sz w:val="24"/>
          <w:szCs w:val="22"/>
        </w:rPr>
        <w:t>assessments, including their knowl</w:t>
      </w:r>
      <w:r w:rsidR="00740E2C">
        <w:rPr>
          <w:sz w:val="24"/>
          <w:szCs w:val="22"/>
        </w:rPr>
        <w:t>edge and experience of the child</w:t>
      </w:r>
      <w:r w:rsidR="0047495F">
        <w:rPr>
          <w:sz w:val="24"/>
          <w:szCs w:val="22"/>
        </w:rPr>
        <w:t xml:space="preserve"> are essential.  </w:t>
      </w:r>
      <w:r w:rsidR="00072688">
        <w:rPr>
          <w:sz w:val="24"/>
          <w:szCs w:val="22"/>
        </w:rPr>
        <w:t>An analysis of progress in comparison to their peers with reference to both school and national data</w:t>
      </w:r>
      <w:r w:rsidR="001C75F9">
        <w:rPr>
          <w:sz w:val="24"/>
          <w:szCs w:val="22"/>
        </w:rPr>
        <w:t>, where relevant,</w:t>
      </w:r>
      <w:r w:rsidR="00072688">
        <w:rPr>
          <w:sz w:val="24"/>
          <w:szCs w:val="22"/>
        </w:rPr>
        <w:t xml:space="preserve"> will help to establish whether progress is adequate.</w:t>
      </w:r>
      <w:r w:rsidRPr="0047495F">
        <w:rPr>
          <w:sz w:val="24"/>
          <w:szCs w:val="22"/>
        </w:rPr>
        <w:t xml:space="preserve"> </w:t>
      </w:r>
    </w:p>
    <w:p w:rsidR="0047495F" w:rsidRDefault="0047495F" w:rsidP="00F62B7A">
      <w:pPr>
        <w:ind w:right="141"/>
        <w:rPr>
          <w:sz w:val="22"/>
          <w:szCs w:val="22"/>
        </w:rPr>
      </w:pPr>
    </w:p>
    <w:tbl>
      <w:tblPr>
        <w:tblStyle w:val="TableGrid"/>
        <w:tblW w:w="0" w:type="auto"/>
        <w:tblInd w:w="-176" w:type="dxa"/>
        <w:tblLook w:val="04A0"/>
      </w:tblPr>
      <w:tblGrid>
        <w:gridCol w:w="9747"/>
      </w:tblGrid>
      <w:tr w:rsidR="00072688" w:rsidTr="00072688">
        <w:tc>
          <w:tcPr>
            <w:tcW w:w="9747" w:type="dxa"/>
            <w:shd w:val="clear" w:color="auto" w:fill="1F497D" w:themeFill="text2"/>
          </w:tcPr>
          <w:p w:rsidR="00072688" w:rsidRPr="00072688" w:rsidRDefault="001C75F9" w:rsidP="00072688">
            <w:pPr>
              <w:pStyle w:val="tab"/>
              <w:rPr>
                <w:b/>
              </w:rPr>
            </w:pPr>
            <w:r>
              <w:rPr>
                <w:b/>
              </w:rPr>
              <w:t>Child</w:t>
            </w:r>
            <w:r w:rsidR="00133BCB" w:rsidRPr="00133BCB">
              <w:rPr>
                <w:b/>
              </w:rPr>
              <w:t xml:space="preserve"> profile</w:t>
            </w:r>
            <w:r w:rsidR="00072688" w:rsidRPr="00072688">
              <w:rPr>
                <w:b/>
              </w:rPr>
              <w:t>: Assessment checklist</w:t>
            </w:r>
          </w:p>
          <w:p w:rsidR="00072688" w:rsidRDefault="00072688" w:rsidP="00072688">
            <w:pPr>
              <w:pStyle w:val="tab"/>
            </w:pPr>
          </w:p>
          <w:p w:rsidR="00072688" w:rsidRPr="00160C8E" w:rsidRDefault="00072688" w:rsidP="00146678">
            <w:pPr>
              <w:pStyle w:val="tab"/>
              <w:ind w:right="-1"/>
              <w:rPr>
                <w:sz w:val="28"/>
              </w:rPr>
            </w:pPr>
            <w:r w:rsidRPr="00160C8E">
              <w:rPr>
                <w:sz w:val="28"/>
              </w:rPr>
              <w:t>Provides a checklist to ensure</w:t>
            </w:r>
            <w:r w:rsidR="00C53CE0">
              <w:rPr>
                <w:sz w:val="28"/>
              </w:rPr>
              <w:t xml:space="preserve"> an appropriate level of participation and</w:t>
            </w:r>
            <w:r w:rsidRPr="00160C8E">
              <w:rPr>
                <w:sz w:val="28"/>
              </w:rPr>
              <w:t xml:space="preserve"> that </w:t>
            </w:r>
            <w:r w:rsidR="00160C8E">
              <w:rPr>
                <w:sz w:val="28"/>
              </w:rPr>
              <w:t>relevant</w:t>
            </w:r>
            <w:r w:rsidRPr="00160C8E">
              <w:rPr>
                <w:sz w:val="28"/>
              </w:rPr>
              <w:t xml:space="preserve"> evidence is gathered from all sources.</w:t>
            </w:r>
          </w:p>
          <w:p w:rsidR="00072688" w:rsidRDefault="00072688" w:rsidP="00072688">
            <w:pPr>
              <w:pStyle w:val="tab"/>
            </w:pPr>
          </w:p>
        </w:tc>
      </w:tr>
    </w:tbl>
    <w:p w:rsidR="00072688" w:rsidRDefault="00072688" w:rsidP="00F62B7A">
      <w:pPr>
        <w:ind w:right="141"/>
        <w:rPr>
          <w:sz w:val="22"/>
          <w:szCs w:val="22"/>
        </w:rPr>
      </w:pPr>
    </w:p>
    <w:p w:rsidR="004F0286" w:rsidRDefault="00160C8E" w:rsidP="004F0286">
      <w:pPr>
        <w:ind w:right="141"/>
        <w:rPr>
          <w:sz w:val="24"/>
          <w:szCs w:val="24"/>
        </w:rPr>
      </w:pPr>
      <w:r>
        <w:rPr>
          <w:sz w:val="24"/>
          <w:szCs w:val="24"/>
        </w:rPr>
        <w:t xml:space="preserve">During the assessment process, staff will need to come to a view as to whether the child a special educational need or disability that requires SEN support.  </w:t>
      </w:r>
      <w:r w:rsidRPr="00204AE2">
        <w:rPr>
          <w:sz w:val="24"/>
          <w:szCs w:val="24"/>
        </w:rPr>
        <w:t xml:space="preserve">All children learn and develop at different rates and have areas of both strength and of need.  </w:t>
      </w:r>
      <w:r>
        <w:rPr>
          <w:sz w:val="24"/>
          <w:szCs w:val="24"/>
        </w:rPr>
        <w:t>The definition of a special educational need remains unchanged, that is a</w:t>
      </w:r>
      <w:r w:rsidRPr="00204AE2">
        <w:rPr>
          <w:sz w:val="24"/>
          <w:szCs w:val="24"/>
        </w:rPr>
        <w:t xml:space="preserve"> child may have a special educational need if they have a learning difficulty or disability which calls for special educational provision </w:t>
      </w:r>
      <w:r w:rsidR="004F66EA">
        <w:rPr>
          <w:sz w:val="24"/>
          <w:szCs w:val="24"/>
        </w:rPr>
        <w:t xml:space="preserve">(i.e. additional to and different from the usual provision) </w:t>
      </w:r>
      <w:r w:rsidRPr="00204AE2">
        <w:rPr>
          <w:sz w:val="24"/>
          <w:szCs w:val="24"/>
        </w:rPr>
        <w:t xml:space="preserve">to be made for them.  </w:t>
      </w:r>
      <w:r w:rsidR="004F66EA">
        <w:rPr>
          <w:sz w:val="24"/>
          <w:szCs w:val="24"/>
        </w:rPr>
        <w:t xml:space="preserve">This definition is inevitably context specific to some extent as what is additional and different will vary between educational settings.  </w:t>
      </w:r>
      <w:r w:rsidR="004F0286">
        <w:rPr>
          <w:sz w:val="24"/>
          <w:szCs w:val="24"/>
        </w:rPr>
        <w:t xml:space="preserve">The </w:t>
      </w:r>
      <w:r w:rsidR="004F0286" w:rsidRPr="00CA487C">
        <w:rPr>
          <w:sz w:val="24"/>
          <w:szCs w:val="24"/>
        </w:rPr>
        <w:t>SEND Co</w:t>
      </w:r>
      <w:r w:rsidR="00740E2C">
        <w:rPr>
          <w:sz w:val="24"/>
          <w:szCs w:val="24"/>
        </w:rPr>
        <w:t>de of Practice: 0-25 years (January 2015</w:t>
      </w:r>
      <w:r w:rsidR="00927140">
        <w:rPr>
          <w:sz w:val="24"/>
          <w:szCs w:val="24"/>
        </w:rPr>
        <w:t>; section xiv</w:t>
      </w:r>
      <w:r w:rsidR="00B66D25">
        <w:rPr>
          <w:sz w:val="24"/>
          <w:szCs w:val="24"/>
        </w:rPr>
        <w:t>, p.15</w:t>
      </w:r>
      <w:r w:rsidR="00927140">
        <w:rPr>
          <w:sz w:val="24"/>
          <w:szCs w:val="24"/>
        </w:rPr>
        <w:t>)</w:t>
      </w:r>
      <w:r w:rsidR="004F0286">
        <w:rPr>
          <w:sz w:val="24"/>
          <w:szCs w:val="24"/>
        </w:rPr>
        <w:t xml:space="preserve"> defines a child or young person of compulsory school age as having a learning difficulty or disability if he or she: </w:t>
      </w:r>
    </w:p>
    <w:p w:rsidR="004F0286" w:rsidRDefault="004F0286" w:rsidP="004F0286">
      <w:pPr>
        <w:ind w:right="141"/>
        <w:rPr>
          <w:sz w:val="24"/>
          <w:szCs w:val="24"/>
        </w:rPr>
      </w:pPr>
    </w:p>
    <w:p w:rsidR="004F0286" w:rsidRPr="004F0286" w:rsidRDefault="004F0286" w:rsidP="004F0286">
      <w:pPr>
        <w:pStyle w:val="Default"/>
        <w:spacing w:after="240"/>
        <w:rPr>
          <w:rFonts w:asciiTheme="minorHAnsi" w:hAnsiTheme="minorHAnsi"/>
        </w:rPr>
      </w:pPr>
      <w:r w:rsidRPr="004F0286">
        <w:rPr>
          <w:rFonts w:asciiTheme="minorHAnsi" w:hAnsiTheme="minorHAnsi"/>
        </w:rPr>
        <w:t>• has a significantly greater difficulty in learning than the majorit</w:t>
      </w:r>
      <w:r>
        <w:rPr>
          <w:rFonts w:asciiTheme="minorHAnsi" w:hAnsiTheme="minorHAnsi"/>
        </w:rPr>
        <w:t>y of others of the same age, or</w:t>
      </w:r>
    </w:p>
    <w:p w:rsidR="004F0286" w:rsidRPr="004F0286" w:rsidRDefault="004F0286" w:rsidP="004F0286">
      <w:pPr>
        <w:pStyle w:val="Default"/>
        <w:spacing w:after="240"/>
        <w:rPr>
          <w:rFonts w:asciiTheme="minorHAnsi" w:hAnsiTheme="minorHAnsi"/>
        </w:rPr>
      </w:pPr>
      <w:r w:rsidRPr="004F0286">
        <w:rPr>
          <w:rFonts w:asciiTheme="minorHAnsi" w:hAnsiTheme="minorHAnsi"/>
        </w:rPr>
        <w:t xml:space="preserve">• has a disability which prevents or hinders him or her from making use of facilities of a kind generally provided for others of the same age in </w:t>
      </w:r>
      <w:r w:rsidR="003F00CF">
        <w:rPr>
          <w:rFonts w:asciiTheme="minorHAnsi" w:hAnsiTheme="minorHAnsi"/>
        </w:rPr>
        <w:t xml:space="preserve">Early Years setting, </w:t>
      </w:r>
      <w:r w:rsidRPr="004F0286">
        <w:rPr>
          <w:rFonts w:asciiTheme="minorHAnsi" w:hAnsiTheme="minorHAnsi"/>
        </w:rPr>
        <w:t xml:space="preserve">mainstream schools or </w:t>
      </w:r>
      <w:r w:rsidR="003F00CF">
        <w:rPr>
          <w:rFonts w:asciiTheme="minorHAnsi" w:hAnsiTheme="minorHAnsi"/>
        </w:rPr>
        <w:t>mainstream post-16 provision</w:t>
      </w:r>
      <w:r w:rsidR="004F66EA">
        <w:rPr>
          <w:rFonts w:asciiTheme="minorHAnsi" w:hAnsiTheme="minorHAnsi"/>
        </w:rPr>
        <w:t>.</w:t>
      </w:r>
      <w:r w:rsidRPr="004F0286">
        <w:rPr>
          <w:rFonts w:asciiTheme="minorHAnsi" w:hAnsiTheme="minorHAnsi"/>
        </w:rPr>
        <w:t xml:space="preserve"> </w:t>
      </w:r>
      <w:r w:rsidR="00927140">
        <w:rPr>
          <w:rFonts w:asciiTheme="minorHAnsi" w:hAnsiTheme="minorHAnsi"/>
        </w:rPr>
        <w:t xml:space="preserve"> </w:t>
      </w:r>
    </w:p>
    <w:p w:rsidR="00160C8E" w:rsidRPr="00204AE2" w:rsidRDefault="004F0286" w:rsidP="00160C8E">
      <w:pPr>
        <w:ind w:right="141"/>
        <w:rPr>
          <w:rFonts w:asciiTheme="minorHAnsi" w:hAnsiTheme="minorHAnsi"/>
          <w:sz w:val="24"/>
          <w:szCs w:val="24"/>
        </w:rPr>
      </w:pPr>
      <w:r>
        <w:rPr>
          <w:rFonts w:asciiTheme="minorHAnsi" w:hAnsiTheme="minorHAnsi"/>
          <w:sz w:val="24"/>
          <w:szCs w:val="24"/>
        </w:rPr>
        <w:t>T</w:t>
      </w:r>
      <w:r w:rsidR="00160C8E" w:rsidRPr="00204AE2">
        <w:rPr>
          <w:rFonts w:asciiTheme="minorHAnsi" w:hAnsiTheme="minorHAnsi"/>
          <w:sz w:val="24"/>
          <w:szCs w:val="24"/>
        </w:rPr>
        <w:t xml:space="preserve">his definition applies to children and young people aged 0 -25, and includes pupils who have a disability but who may be making satisfactory progress. </w:t>
      </w:r>
    </w:p>
    <w:p w:rsidR="00160C8E" w:rsidRPr="00204AE2" w:rsidRDefault="00160C8E" w:rsidP="00160C8E">
      <w:pPr>
        <w:ind w:right="141"/>
        <w:rPr>
          <w:rFonts w:asciiTheme="minorHAnsi" w:hAnsiTheme="minorHAnsi"/>
          <w:sz w:val="24"/>
          <w:szCs w:val="24"/>
        </w:rPr>
      </w:pPr>
    </w:p>
    <w:p w:rsidR="00160C8E" w:rsidRPr="00204AE2" w:rsidRDefault="00160C8E" w:rsidP="00160C8E">
      <w:pPr>
        <w:ind w:right="141"/>
        <w:rPr>
          <w:rFonts w:asciiTheme="minorHAnsi" w:hAnsiTheme="minorHAnsi"/>
          <w:sz w:val="24"/>
          <w:szCs w:val="24"/>
        </w:rPr>
      </w:pPr>
      <w:r w:rsidRPr="00204AE2">
        <w:rPr>
          <w:rFonts w:asciiTheme="minorHAnsi" w:hAnsiTheme="minorHAnsi"/>
          <w:sz w:val="24"/>
          <w:szCs w:val="24"/>
        </w:rPr>
        <w:t>When considering whether a child has a special educational need, there should not be an assumption that all children will progress at the same rate or that all children falling behind their peers have SEN; factors such as month of birth, school history and English as an Additional Language (EAL) must be ta</w:t>
      </w:r>
      <w:r>
        <w:rPr>
          <w:rFonts w:asciiTheme="minorHAnsi" w:hAnsiTheme="minorHAnsi"/>
          <w:sz w:val="24"/>
          <w:szCs w:val="24"/>
        </w:rPr>
        <w:t xml:space="preserve">ken into </w:t>
      </w:r>
      <w:r w:rsidRPr="00927140">
        <w:rPr>
          <w:rFonts w:asciiTheme="minorHAnsi" w:hAnsiTheme="minorHAnsi"/>
          <w:sz w:val="24"/>
          <w:szCs w:val="24"/>
        </w:rPr>
        <w:t>account</w:t>
      </w:r>
      <w:r w:rsidR="00927140" w:rsidRPr="00927140">
        <w:rPr>
          <w:rFonts w:asciiTheme="minorHAnsi" w:hAnsiTheme="minorHAnsi"/>
          <w:sz w:val="24"/>
          <w:szCs w:val="24"/>
        </w:rPr>
        <w:t xml:space="preserve"> (see section 6.23/6.24,</w:t>
      </w:r>
      <w:r w:rsidR="00927140" w:rsidRPr="00927140">
        <w:rPr>
          <w:sz w:val="24"/>
          <w:szCs w:val="24"/>
        </w:rPr>
        <w:t xml:space="preserve"> SEND Code</w:t>
      </w:r>
      <w:r w:rsidR="00927140" w:rsidRPr="00CA487C">
        <w:rPr>
          <w:sz w:val="24"/>
          <w:szCs w:val="24"/>
        </w:rPr>
        <w:t xml:space="preserve"> of Practice: 0-25 years (July 2014</w:t>
      </w:r>
      <w:r w:rsidR="004F66EA">
        <w:rPr>
          <w:sz w:val="24"/>
          <w:szCs w:val="24"/>
        </w:rPr>
        <w:t>)</w:t>
      </w:r>
      <w:r>
        <w:rPr>
          <w:rFonts w:asciiTheme="minorHAnsi" w:hAnsiTheme="minorHAnsi"/>
          <w:sz w:val="24"/>
          <w:szCs w:val="24"/>
        </w:rPr>
        <w:t xml:space="preserve">. </w:t>
      </w:r>
      <w:r w:rsidRPr="00204AE2">
        <w:rPr>
          <w:rFonts w:asciiTheme="minorHAnsi" w:hAnsiTheme="minorHAnsi"/>
          <w:sz w:val="24"/>
          <w:szCs w:val="24"/>
        </w:rPr>
        <w:t xml:space="preserve"> The identification of</w:t>
      </w:r>
      <w:r w:rsidR="00524D82">
        <w:rPr>
          <w:rFonts w:asciiTheme="minorHAnsi" w:hAnsiTheme="minorHAnsi"/>
          <w:sz w:val="24"/>
          <w:szCs w:val="24"/>
        </w:rPr>
        <w:t xml:space="preserve"> SEND should be built into the ‘assess, p</w:t>
      </w:r>
      <w:r w:rsidRPr="00204AE2">
        <w:rPr>
          <w:rFonts w:asciiTheme="minorHAnsi" w:hAnsiTheme="minorHAnsi"/>
          <w:sz w:val="24"/>
          <w:szCs w:val="24"/>
        </w:rPr>
        <w:t xml:space="preserve">lan, </w:t>
      </w:r>
      <w:r w:rsidR="00524D82">
        <w:rPr>
          <w:rFonts w:asciiTheme="minorHAnsi" w:hAnsiTheme="minorHAnsi"/>
          <w:sz w:val="24"/>
          <w:szCs w:val="24"/>
        </w:rPr>
        <w:t>d</w:t>
      </w:r>
      <w:r w:rsidRPr="00204AE2">
        <w:rPr>
          <w:rFonts w:asciiTheme="minorHAnsi" w:hAnsiTheme="minorHAnsi"/>
          <w:sz w:val="24"/>
          <w:szCs w:val="24"/>
        </w:rPr>
        <w:t xml:space="preserve">o, </w:t>
      </w:r>
      <w:r w:rsidR="00524D82">
        <w:rPr>
          <w:rFonts w:asciiTheme="minorHAnsi" w:hAnsiTheme="minorHAnsi"/>
          <w:sz w:val="24"/>
          <w:szCs w:val="24"/>
        </w:rPr>
        <w:t>r</w:t>
      </w:r>
      <w:r w:rsidRPr="00204AE2">
        <w:rPr>
          <w:rFonts w:asciiTheme="minorHAnsi" w:hAnsiTheme="minorHAnsi"/>
          <w:sz w:val="24"/>
          <w:szCs w:val="24"/>
        </w:rPr>
        <w:t xml:space="preserve">eview’ approach, which </w:t>
      </w:r>
      <w:r w:rsidR="00524D82">
        <w:rPr>
          <w:rFonts w:asciiTheme="minorHAnsi" w:hAnsiTheme="minorHAnsi"/>
          <w:sz w:val="24"/>
          <w:szCs w:val="24"/>
        </w:rPr>
        <w:t>underlies</w:t>
      </w:r>
      <w:r w:rsidRPr="00204AE2">
        <w:rPr>
          <w:rFonts w:asciiTheme="minorHAnsi" w:hAnsiTheme="minorHAnsi"/>
          <w:sz w:val="24"/>
          <w:szCs w:val="24"/>
        </w:rPr>
        <w:t xml:space="preserve"> the </w:t>
      </w:r>
      <w:r w:rsidR="001C75F9">
        <w:rPr>
          <w:rFonts w:asciiTheme="minorHAnsi" w:hAnsiTheme="minorHAnsi"/>
          <w:sz w:val="24"/>
          <w:szCs w:val="24"/>
        </w:rPr>
        <w:t>Child</w:t>
      </w:r>
      <w:r w:rsidR="00524D82">
        <w:rPr>
          <w:rFonts w:asciiTheme="minorHAnsi" w:hAnsiTheme="minorHAnsi"/>
          <w:sz w:val="24"/>
          <w:szCs w:val="24"/>
        </w:rPr>
        <w:t xml:space="preserve"> profile</w:t>
      </w:r>
      <w:r w:rsidRPr="00204AE2">
        <w:rPr>
          <w:rFonts w:asciiTheme="minorHAnsi" w:hAnsiTheme="minorHAnsi"/>
          <w:sz w:val="24"/>
          <w:szCs w:val="24"/>
        </w:rPr>
        <w:t>.</w:t>
      </w:r>
    </w:p>
    <w:p w:rsidR="00160C8E" w:rsidRPr="00204AE2" w:rsidRDefault="00160C8E" w:rsidP="00160C8E">
      <w:pPr>
        <w:ind w:right="141"/>
        <w:rPr>
          <w:rFonts w:asciiTheme="minorHAnsi" w:hAnsiTheme="minorHAnsi"/>
          <w:sz w:val="24"/>
          <w:szCs w:val="24"/>
        </w:rPr>
      </w:pPr>
    </w:p>
    <w:p w:rsidR="00072688" w:rsidRDefault="00072688" w:rsidP="00F62B7A">
      <w:pPr>
        <w:ind w:right="141"/>
        <w:rPr>
          <w:sz w:val="22"/>
          <w:szCs w:val="22"/>
        </w:rPr>
      </w:pPr>
    </w:p>
    <w:p w:rsidR="00A6042B" w:rsidRDefault="00A6042B" w:rsidP="00F62B7A">
      <w:pPr>
        <w:ind w:right="141"/>
        <w:rPr>
          <w:sz w:val="22"/>
          <w:szCs w:val="22"/>
        </w:rPr>
      </w:pPr>
    </w:p>
    <w:p w:rsidR="00A6042B" w:rsidRDefault="00A6042B">
      <w:pPr>
        <w:spacing w:after="200" w:line="276" w:lineRule="auto"/>
        <w:ind w:left="0" w:right="0"/>
        <w:rPr>
          <w:sz w:val="22"/>
          <w:szCs w:val="22"/>
        </w:rPr>
      </w:pPr>
      <w:r>
        <w:rPr>
          <w:sz w:val="22"/>
          <w:szCs w:val="22"/>
        </w:rPr>
        <w:br w:type="page"/>
      </w:r>
    </w:p>
    <w:p w:rsidR="00A6042B" w:rsidRPr="00EE542D" w:rsidRDefault="00A6042B" w:rsidP="00A6042B">
      <w:pPr>
        <w:ind w:right="141"/>
        <w:rPr>
          <w:sz w:val="8"/>
          <w:szCs w:val="22"/>
        </w:rPr>
      </w:pPr>
    </w:p>
    <w:tbl>
      <w:tblPr>
        <w:tblStyle w:val="TableGrid"/>
        <w:tblW w:w="0" w:type="auto"/>
        <w:tblInd w:w="-176" w:type="dxa"/>
        <w:tblLook w:val="04A0"/>
      </w:tblPr>
      <w:tblGrid>
        <w:gridCol w:w="9747"/>
      </w:tblGrid>
      <w:tr w:rsidR="00A6042B" w:rsidTr="00A6042B">
        <w:tc>
          <w:tcPr>
            <w:tcW w:w="9747" w:type="dxa"/>
            <w:shd w:val="clear" w:color="auto" w:fill="1F497D" w:themeFill="text2"/>
          </w:tcPr>
          <w:p w:rsidR="00EE542D" w:rsidRDefault="001C75F9" w:rsidP="00EC3573">
            <w:pPr>
              <w:pStyle w:val="tab"/>
              <w:rPr>
                <w:b/>
              </w:rPr>
            </w:pPr>
            <w:r>
              <w:rPr>
                <w:b/>
              </w:rPr>
              <w:t>Child</w:t>
            </w:r>
            <w:r w:rsidR="00133BCB" w:rsidRPr="00133BCB">
              <w:rPr>
                <w:b/>
              </w:rPr>
              <w:t xml:space="preserve"> profile</w:t>
            </w:r>
            <w:r w:rsidR="00A6042B" w:rsidRPr="00072688">
              <w:rPr>
                <w:b/>
              </w:rPr>
              <w:t xml:space="preserve">: </w:t>
            </w:r>
            <w:r w:rsidR="00EE542D">
              <w:rPr>
                <w:b/>
              </w:rPr>
              <w:t>Assess needs and impact</w:t>
            </w:r>
          </w:p>
          <w:p w:rsidR="00EE542D" w:rsidRPr="00EE542D" w:rsidRDefault="00EE542D" w:rsidP="00EC3573">
            <w:pPr>
              <w:pStyle w:val="tab"/>
              <w:rPr>
                <w:b/>
                <w:sz w:val="16"/>
              </w:rPr>
            </w:pPr>
          </w:p>
          <w:p w:rsidR="00A6042B" w:rsidRDefault="0023139C" w:rsidP="00EC3573">
            <w:pPr>
              <w:pStyle w:val="tab"/>
            </w:pPr>
            <w:r>
              <w:rPr>
                <w:b/>
              </w:rPr>
              <w:t>GRSS</w:t>
            </w:r>
            <w:r w:rsidR="00A6042B">
              <w:rPr>
                <w:b/>
              </w:rPr>
              <w:t xml:space="preserve"> indicators</w:t>
            </w:r>
          </w:p>
          <w:p w:rsidR="00A6042B" w:rsidRPr="00160C8E" w:rsidRDefault="00A6042B" w:rsidP="00EC3573">
            <w:pPr>
              <w:pStyle w:val="tab"/>
              <w:ind w:right="-143"/>
              <w:rPr>
                <w:sz w:val="28"/>
              </w:rPr>
            </w:pPr>
            <w:r>
              <w:rPr>
                <w:sz w:val="28"/>
              </w:rPr>
              <w:t xml:space="preserve">To support the identification and assessment of special educational needs and disabilities, the </w:t>
            </w:r>
            <w:r w:rsidR="00740E2C" w:rsidRPr="001C75F9">
              <w:rPr>
                <w:b/>
                <w:sz w:val="28"/>
              </w:rPr>
              <w:t>EY Child</w:t>
            </w:r>
            <w:r w:rsidR="00740E2C">
              <w:rPr>
                <w:b/>
                <w:sz w:val="28"/>
              </w:rPr>
              <w:t xml:space="preserve"> P</w:t>
            </w:r>
            <w:r w:rsidR="00133BCB" w:rsidRPr="00133BCB">
              <w:rPr>
                <w:b/>
                <w:sz w:val="28"/>
              </w:rPr>
              <w:t>rofile</w:t>
            </w:r>
            <w:r>
              <w:rPr>
                <w:sz w:val="28"/>
              </w:rPr>
              <w:t xml:space="preserve"> has lists of SEND indicators for each area of need.  These lists offer guidance to pinpoint areas of difficulty.  They are not exhaustive, nor are they criteria for accessing any kind of provision.  </w:t>
            </w:r>
          </w:p>
          <w:p w:rsidR="00A6042B" w:rsidRPr="00EE542D" w:rsidRDefault="00A6042B" w:rsidP="00EC3573">
            <w:pPr>
              <w:pStyle w:val="tab"/>
              <w:rPr>
                <w:sz w:val="16"/>
              </w:rPr>
            </w:pPr>
          </w:p>
          <w:p w:rsidR="0074671E" w:rsidRPr="0074671E" w:rsidRDefault="0074671E" w:rsidP="00EC3573">
            <w:pPr>
              <w:pStyle w:val="tab"/>
              <w:rPr>
                <w:sz w:val="28"/>
              </w:rPr>
            </w:pPr>
            <w:r>
              <w:rPr>
                <w:b/>
              </w:rPr>
              <w:t>Impact</w:t>
            </w:r>
          </w:p>
          <w:p w:rsidR="0074671E" w:rsidRDefault="0074671E" w:rsidP="0074671E">
            <w:pPr>
              <w:pStyle w:val="tab"/>
              <w:ind w:right="-1"/>
              <w:rPr>
                <w:sz w:val="28"/>
              </w:rPr>
            </w:pPr>
            <w:r>
              <w:rPr>
                <w:sz w:val="28"/>
              </w:rPr>
              <w:t xml:space="preserve">Impact is the effect of the </w:t>
            </w:r>
            <w:r w:rsidR="001C75F9">
              <w:rPr>
                <w:sz w:val="28"/>
              </w:rPr>
              <w:t>child</w:t>
            </w:r>
            <w:r>
              <w:rPr>
                <w:sz w:val="28"/>
              </w:rPr>
              <w:t>’s underlying needs on their access to the curriculum or social environment.  Use the table to record evidence of impact.</w:t>
            </w:r>
          </w:p>
          <w:p w:rsidR="0074671E" w:rsidRDefault="0074671E" w:rsidP="001C75F9">
            <w:pPr>
              <w:pStyle w:val="tab"/>
              <w:ind w:right="-1"/>
            </w:pPr>
          </w:p>
        </w:tc>
      </w:tr>
    </w:tbl>
    <w:p w:rsidR="00A6042B" w:rsidRDefault="00A6042B" w:rsidP="00A6042B">
      <w:pPr>
        <w:ind w:right="141"/>
        <w:rPr>
          <w:sz w:val="22"/>
          <w:szCs w:val="22"/>
        </w:rPr>
      </w:pPr>
    </w:p>
    <w:p w:rsidR="0095427C" w:rsidRDefault="00BF7736" w:rsidP="0095427C">
      <w:pPr>
        <w:ind w:right="141"/>
        <w:rPr>
          <w:sz w:val="24"/>
          <w:szCs w:val="24"/>
        </w:rPr>
      </w:pPr>
      <w:r w:rsidRPr="0095427C">
        <w:rPr>
          <w:sz w:val="24"/>
          <w:szCs w:val="24"/>
        </w:rPr>
        <w:t xml:space="preserve">In addition to the information gathered from the above sources, staff may wish to use standardised </w:t>
      </w:r>
      <w:r w:rsidR="0095427C" w:rsidRPr="0095427C">
        <w:rPr>
          <w:sz w:val="24"/>
          <w:szCs w:val="24"/>
        </w:rPr>
        <w:t>assessments</w:t>
      </w:r>
      <w:r w:rsidR="0095427C" w:rsidRPr="0095427C">
        <w:rPr>
          <w:b/>
          <w:bCs/>
          <w:iCs/>
          <w:sz w:val="24"/>
          <w:szCs w:val="24"/>
        </w:rPr>
        <w:t xml:space="preserve">.  </w:t>
      </w:r>
      <w:r w:rsidR="00334B85">
        <w:rPr>
          <w:b/>
          <w:bCs/>
          <w:iCs/>
          <w:sz w:val="24"/>
          <w:szCs w:val="24"/>
        </w:rPr>
        <w:t xml:space="preserve">Assessments should be up to date and administered by someone who is trained in the administration of that test and/or has read and understood the manual.  </w:t>
      </w:r>
      <w:r w:rsidR="0095427C" w:rsidRPr="0095427C">
        <w:rPr>
          <w:sz w:val="24"/>
          <w:szCs w:val="24"/>
        </w:rPr>
        <w:t>A list of recommended assess</w:t>
      </w:r>
      <w:r w:rsidR="00BB020A">
        <w:rPr>
          <w:sz w:val="24"/>
          <w:szCs w:val="24"/>
        </w:rPr>
        <w:t xml:space="preserve">ments is provided in </w:t>
      </w:r>
      <w:hyperlink w:anchor="In_App_a" w:tooltip="Go to appendix a" w:history="1">
        <w:r w:rsidR="00BB020A" w:rsidRPr="00BB020A">
          <w:rPr>
            <w:rStyle w:val="Hyperlink"/>
            <w:sz w:val="24"/>
            <w:szCs w:val="24"/>
          </w:rPr>
          <w:t>appendix a</w:t>
        </w:r>
      </w:hyperlink>
      <w:r w:rsidR="00BB020A">
        <w:rPr>
          <w:sz w:val="24"/>
          <w:szCs w:val="24"/>
        </w:rPr>
        <w:t>.</w:t>
      </w:r>
    </w:p>
    <w:p w:rsidR="0095427C" w:rsidRDefault="0095427C" w:rsidP="0095427C">
      <w:pPr>
        <w:ind w:right="141"/>
        <w:rPr>
          <w:sz w:val="24"/>
          <w:szCs w:val="24"/>
        </w:rPr>
      </w:pPr>
    </w:p>
    <w:p w:rsidR="00334B85" w:rsidRPr="00334B85" w:rsidRDefault="0095427C" w:rsidP="00334B85">
      <w:pPr>
        <w:spacing w:after="240"/>
        <w:ind w:right="141"/>
        <w:rPr>
          <w:sz w:val="24"/>
          <w:szCs w:val="22"/>
        </w:rPr>
      </w:pPr>
      <w:r>
        <w:rPr>
          <w:sz w:val="24"/>
          <w:szCs w:val="22"/>
        </w:rPr>
        <w:t xml:space="preserve">Standardised tests are useful </w:t>
      </w:r>
      <w:r w:rsidR="00334B85">
        <w:rPr>
          <w:sz w:val="24"/>
          <w:szCs w:val="22"/>
        </w:rPr>
        <w:t>for</w:t>
      </w:r>
      <w:r>
        <w:rPr>
          <w:sz w:val="24"/>
          <w:szCs w:val="22"/>
        </w:rPr>
        <w:t xml:space="preserve"> measuring progress </w:t>
      </w:r>
      <w:r w:rsidR="00334B85">
        <w:rPr>
          <w:sz w:val="24"/>
          <w:szCs w:val="22"/>
        </w:rPr>
        <w:t xml:space="preserve">where the same test is repeated.   Diagnostic tests can aid understanding of an individual’s needs and support planning effective provision. </w:t>
      </w:r>
      <w:r w:rsidRPr="0095427C">
        <w:rPr>
          <w:sz w:val="24"/>
          <w:szCs w:val="22"/>
        </w:rPr>
        <w:t>It should be noted that</w:t>
      </w:r>
      <w:r w:rsidR="00334B85">
        <w:rPr>
          <w:sz w:val="24"/>
          <w:szCs w:val="22"/>
        </w:rPr>
        <w:t xml:space="preserve"> whilst</w:t>
      </w:r>
      <w:r w:rsidRPr="0095427C">
        <w:rPr>
          <w:sz w:val="24"/>
          <w:szCs w:val="22"/>
        </w:rPr>
        <w:t xml:space="preserve"> tests</w:t>
      </w:r>
      <w:r w:rsidR="00334B85">
        <w:rPr>
          <w:sz w:val="24"/>
          <w:szCs w:val="22"/>
        </w:rPr>
        <w:t xml:space="preserve"> can be useful tools</w:t>
      </w:r>
      <w:r w:rsidRPr="0095427C">
        <w:rPr>
          <w:sz w:val="24"/>
          <w:szCs w:val="22"/>
        </w:rPr>
        <w:t xml:space="preserve"> they should be used with care, because:</w:t>
      </w:r>
    </w:p>
    <w:p w:rsidR="0095427C" w:rsidRPr="0095427C" w:rsidRDefault="0095427C" w:rsidP="009725F9">
      <w:pPr>
        <w:numPr>
          <w:ilvl w:val="0"/>
          <w:numId w:val="3"/>
        </w:numPr>
        <w:spacing w:after="120"/>
        <w:ind w:left="426" w:right="141"/>
        <w:rPr>
          <w:sz w:val="24"/>
          <w:szCs w:val="22"/>
        </w:rPr>
      </w:pPr>
      <w:r w:rsidRPr="0095427C">
        <w:rPr>
          <w:sz w:val="24"/>
          <w:szCs w:val="22"/>
        </w:rPr>
        <w:t>They can only provide a measurement of ability for a narrow range of skills</w:t>
      </w:r>
      <w:r w:rsidR="00524D82">
        <w:rPr>
          <w:sz w:val="24"/>
          <w:szCs w:val="22"/>
        </w:rPr>
        <w:t>.</w:t>
      </w:r>
    </w:p>
    <w:p w:rsidR="0095427C" w:rsidRPr="0095427C" w:rsidRDefault="0095427C" w:rsidP="009725F9">
      <w:pPr>
        <w:numPr>
          <w:ilvl w:val="0"/>
          <w:numId w:val="3"/>
        </w:numPr>
        <w:spacing w:after="120"/>
        <w:ind w:left="426" w:right="141"/>
        <w:rPr>
          <w:i/>
          <w:sz w:val="24"/>
          <w:szCs w:val="22"/>
        </w:rPr>
      </w:pPr>
      <w:r w:rsidRPr="0095427C">
        <w:rPr>
          <w:sz w:val="24"/>
          <w:szCs w:val="22"/>
        </w:rPr>
        <w:t xml:space="preserve">They are not sensitive to all aspects of progress within the areas of skill for which they are designed </w:t>
      </w:r>
      <w:r w:rsidRPr="0095427C">
        <w:rPr>
          <w:i/>
          <w:sz w:val="24"/>
          <w:szCs w:val="22"/>
        </w:rPr>
        <w:t>e.g. a child or young person’s spelling may improve so that what they write is understood more easily. However ‘laughed’ written ‘</w:t>
      </w:r>
      <w:proofErr w:type="spellStart"/>
      <w:r w:rsidRPr="0095427C">
        <w:rPr>
          <w:i/>
          <w:sz w:val="24"/>
          <w:szCs w:val="22"/>
        </w:rPr>
        <w:t>larfd</w:t>
      </w:r>
      <w:proofErr w:type="spellEnd"/>
      <w:r w:rsidRPr="0095427C">
        <w:rPr>
          <w:i/>
          <w:sz w:val="24"/>
          <w:szCs w:val="22"/>
        </w:rPr>
        <w:t>’ instead of ‘</w:t>
      </w:r>
      <w:proofErr w:type="spellStart"/>
      <w:r w:rsidRPr="0095427C">
        <w:rPr>
          <w:i/>
          <w:sz w:val="24"/>
          <w:szCs w:val="22"/>
        </w:rPr>
        <w:t>lffd</w:t>
      </w:r>
      <w:proofErr w:type="spellEnd"/>
      <w:r w:rsidRPr="0095427C">
        <w:rPr>
          <w:i/>
          <w:sz w:val="24"/>
          <w:szCs w:val="22"/>
        </w:rPr>
        <w:t>’ is still incorrect and will not score on a test. </w:t>
      </w:r>
    </w:p>
    <w:p w:rsidR="0095427C" w:rsidRPr="0095427C" w:rsidRDefault="0095427C" w:rsidP="009725F9">
      <w:pPr>
        <w:numPr>
          <w:ilvl w:val="0"/>
          <w:numId w:val="3"/>
        </w:numPr>
        <w:spacing w:after="120"/>
        <w:ind w:left="426" w:right="141"/>
        <w:rPr>
          <w:i/>
          <w:sz w:val="24"/>
          <w:szCs w:val="22"/>
        </w:rPr>
      </w:pPr>
      <w:r w:rsidRPr="0095427C">
        <w:rPr>
          <w:sz w:val="24"/>
          <w:szCs w:val="22"/>
        </w:rPr>
        <w:t xml:space="preserve">They may not be sensitive enough to record all progress </w:t>
      </w:r>
      <w:r w:rsidRPr="0095427C">
        <w:rPr>
          <w:i/>
          <w:sz w:val="24"/>
          <w:szCs w:val="22"/>
        </w:rPr>
        <w:t>e.g. a child or young person who can recognise fifty key words instead of five may have made great progress, but the reading test may not be sensit</w:t>
      </w:r>
      <w:r w:rsidR="00524D82">
        <w:rPr>
          <w:i/>
          <w:sz w:val="24"/>
          <w:szCs w:val="22"/>
        </w:rPr>
        <w:t>ive enough to record any change.</w:t>
      </w:r>
    </w:p>
    <w:p w:rsidR="0095427C" w:rsidRDefault="0095427C" w:rsidP="009725F9">
      <w:pPr>
        <w:numPr>
          <w:ilvl w:val="0"/>
          <w:numId w:val="3"/>
        </w:numPr>
        <w:spacing w:after="120"/>
        <w:ind w:left="426" w:right="141"/>
        <w:rPr>
          <w:sz w:val="24"/>
          <w:szCs w:val="22"/>
        </w:rPr>
      </w:pPr>
      <w:r w:rsidRPr="0095427C">
        <w:rPr>
          <w:sz w:val="24"/>
          <w:szCs w:val="22"/>
        </w:rPr>
        <w:t xml:space="preserve">A child or young person’s performance on formal tests may vary between tests, from day to day and according to the time of day.  </w:t>
      </w:r>
    </w:p>
    <w:p w:rsidR="00334B85" w:rsidRPr="0095427C" w:rsidRDefault="00334B85" w:rsidP="009725F9">
      <w:pPr>
        <w:numPr>
          <w:ilvl w:val="0"/>
          <w:numId w:val="3"/>
        </w:numPr>
        <w:spacing w:after="120"/>
        <w:ind w:left="426" w:right="141"/>
        <w:rPr>
          <w:sz w:val="24"/>
          <w:szCs w:val="22"/>
        </w:rPr>
      </w:pPr>
      <w:r>
        <w:rPr>
          <w:sz w:val="24"/>
          <w:szCs w:val="22"/>
        </w:rPr>
        <w:t>Tests are standardised on a particular population group and using them with child or young person who is significantly different from this group, e.g. a child who has English as an additional language, will reduce the validity of the test</w:t>
      </w:r>
      <w:r w:rsidR="00524D82">
        <w:rPr>
          <w:sz w:val="24"/>
          <w:szCs w:val="22"/>
        </w:rPr>
        <w:t>.</w:t>
      </w:r>
    </w:p>
    <w:p w:rsidR="0095427C" w:rsidRPr="0095427C" w:rsidRDefault="0095427C" w:rsidP="0095427C">
      <w:pPr>
        <w:spacing w:after="120"/>
        <w:ind w:right="141"/>
        <w:rPr>
          <w:sz w:val="24"/>
          <w:szCs w:val="22"/>
        </w:rPr>
      </w:pPr>
      <w:r w:rsidRPr="0095427C">
        <w:rPr>
          <w:sz w:val="24"/>
          <w:szCs w:val="22"/>
        </w:rPr>
        <w:t xml:space="preserve">Therefore the examples of formal </w:t>
      </w:r>
      <w:r>
        <w:rPr>
          <w:sz w:val="24"/>
          <w:szCs w:val="22"/>
        </w:rPr>
        <w:t xml:space="preserve">test score levels quoted in the </w:t>
      </w:r>
      <w:r w:rsidR="00740E2C">
        <w:rPr>
          <w:b/>
          <w:sz w:val="24"/>
          <w:szCs w:val="22"/>
        </w:rPr>
        <w:t>EY Child</w:t>
      </w:r>
      <w:r w:rsidR="00133BCB" w:rsidRPr="00133BCB">
        <w:rPr>
          <w:b/>
          <w:sz w:val="24"/>
          <w:szCs w:val="22"/>
        </w:rPr>
        <w:t xml:space="preserve"> profile</w:t>
      </w:r>
      <w:r>
        <w:rPr>
          <w:sz w:val="24"/>
          <w:szCs w:val="22"/>
        </w:rPr>
        <w:t xml:space="preserve"> </w:t>
      </w:r>
      <w:r w:rsidRPr="0095427C">
        <w:rPr>
          <w:bCs/>
          <w:sz w:val="24"/>
          <w:szCs w:val="22"/>
        </w:rPr>
        <w:t>are for guidance only. O</w:t>
      </w:r>
      <w:r w:rsidRPr="0095427C">
        <w:rPr>
          <w:sz w:val="24"/>
          <w:szCs w:val="22"/>
        </w:rPr>
        <w:t xml:space="preserve">ther indicators of level of need and progress should always be taken into consideration.  </w:t>
      </w:r>
    </w:p>
    <w:p w:rsidR="00334B85" w:rsidRDefault="0095427C" w:rsidP="00334B85">
      <w:pPr>
        <w:ind w:right="141"/>
        <w:rPr>
          <w:sz w:val="22"/>
          <w:szCs w:val="22"/>
        </w:rPr>
      </w:pPr>
      <w:r w:rsidRPr="0095427C">
        <w:rPr>
          <w:sz w:val="24"/>
          <w:szCs w:val="24"/>
        </w:rPr>
        <w:t>If a test provides a score as a range of ages, the mid-point should be used for comparison with descriptors and for tracking</w:t>
      </w:r>
      <w:r>
        <w:rPr>
          <w:sz w:val="24"/>
          <w:szCs w:val="24"/>
        </w:rPr>
        <w:t xml:space="preserve"> (e.g. if a test score gives 5:03-5:08 then use 5:06 as it is the mid-point of the two)</w:t>
      </w:r>
      <w:r w:rsidRPr="0095427C">
        <w:rPr>
          <w:sz w:val="24"/>
          <w:szCs w:val="24"/>
        </w:rPr>
        <w:t>.</w:t>
      </w:r>
      <w:r w:rsidR="00BF7736" w:rsidRPr="00BF7736">
        <w:rPr>
          <w:sz w:val="24"/>
          <w:szCs w:val="22"/>
        </w:rPr>
        <w:t xml:space="preserve"> </w:t>
      </w:r>
    </w:p>
    <w:p w:rsidR="00334B85" w:rsidRPr="00BF7736" w:rsidRDefault="00334B85" w:rsidP="00334B85">
      <w:pPr>
        <w:ind w:right="141"/>
        <w:rPr>
          <w:sz w:val="24"/>
          <w:szCs w:val="22"/>
        </w:rPr>
        <w:sectPr w:rsidR="00334B85" w:rsidRPr="00BF7736" w:rsidSect="006F7525">
          <w:headerReference w:type="default" r:id="rId22"/>
          <w:pgSz w:w="11906" w:h="16838"/>
          <w:pgMar w:top="1440" w:right="1274" w:bottom="1440" w:left="993" w:header="708" w:footer="422" w:gutter="0"/>
          <w:cols w:space="708"/>
          <w:docGrid w:linePitch="360"/>
        </w:sectPr>
      </w:pPr>
    </w:p>
    <w:p w:rsidR="00F62B7A" w:rsidRDefault="00F62B7A" w:rsidP="000B56A6">
      <w:pPr>
        <w:pStyle w:val="In-pageheading"/>
      </w:pPr>
      <w:bookmarkStart w:id="15" w:name="plananddo"/>
      <w:r>
        <w:lastRenderedPageBreak/>
        <w:t xml:space="preserve">Plan and Do </w:t>
      </w:r>
    </w:p>
    <w:bookmarkEnd w:id="15"/>
    <w:p w:rsidR="00F62B7A" w:rsidRDefault="00F62B7A" w:rsidP="00F62B7A">
      <w:pPr>
        <w:ind w:right="141"/>
        <w:rPr>
          <w:sz w:val="22"/>
          <w:szCs w:val="22"/>
        </w:rPr>
      </w:pPr>
    </w:p>
    <w:p w:rsidR="00CD6F01" w:rsidRPr="000B56A6" w:rsidRDefault="00CD6F01" w:rsidP="00CD6F01">
      <w:pPr>
        <w:ind w:right="141"/>
        <w:rPr>
          <w:rFonts w:asciiTheme="minorHAnsi" w:hAnsiTheme="minorHAnsi"/>
          <w:sz w:val="24"/>
          <w:szCs w:val="24"/>
        </w:rPr>
      </w:pPr>
      <w:r w:rsidRPr="000B56A6">
        <w:rPr>
          <w:rFonts w:asciiTheme="minorHAnsi" w:hAnsiTheme="minorHAnsi"/>
          <w:sz w:val="24"/>
          <w:szCs w:val="24"/>
        </w:rPr>
        <w:t>Early Years and education providers have a clear duty to use their ‘best endeavours’ to make appropriate provision for children with SEN.  Children and young people with SEN need provision that is ‘additional to or different from’ the differentiated approaches and learning arrangements normally provided for all children/young people.  Special educational provision is that which goes beyond the differentiation and varied learning approaches that should that should be available to all children as part of high quality personalised curriculum.</w:t>
      </w:r>
    </w:p>
    <w:p w:rsidR="00CD6F01" w:rsidRPr="000B56A6" w:rsidRDefault="00CD6F01" w:rsidP="00F62B7A">
      <w:pPr>
        <w:ind w:right="141"/>
        <w:rPr>
          <w:sz w:val="24"/>
          <w:szCs w:val="24"/>
        </w:rPr>
      </w:pPr>
    </w:p>
    <w:p w:rsidR="009C38FE" w:rsidRDefault="00F62B7A" w:rsidP="00F62B7A">
      <w:pPr>
        <w:ind w:right="141"/>
        <w:rPr>
          <w:sz w:val="24"/>
          <w:szCs w:val="24"/>
        </w:rPr>
      </w:pPr>
      <w:r w:rsidRPr="000B56A6">
        <w:rPr>
          <w:sz w:val="24"/>
          <w:szCs w:val="24"/>
        </w:rPr>
        <w:t xml:space="preserve">Where it is decided to provide a child or young person with SEN support, the </w:t>
      </w:r>
      <w:r w:rsidR="00714E76" w:rsidRPr="00714E76">
        <w:rPr>
          <w:sz w:val="24"/>
          <w:szCs w:val="24"/>
        </w:rPr>
        <w:t>parents/carers</w:t>
      </w:r>
      <w:r w:rsidRPr="000B56A6">
        <w:rPr>
          <w:sz w:val="24"/>
          <w:szCs w:val="24"/>
        </w:rPr>
        <w:t xml:space="preserve"> will be notified and </w:t>
      </w:r>
      <w:r w:rsidR="000B56A6">
        <w:rPr>
          <w:sz w:val="24"/>
          <w:szCs w:val="24"/>
        </w:rPr>
        <w:t>a plan should</w:t>
      </w:r>
      <w:r w:rsidRPr="000B56A6">
        <w:rPr>
          <w:sz w:val="24"/>
          <w:szCs w:val="24"/>
        </w:rPr>
        <w:t xml:space="preserve"> be drawn up with </w:t>
      </w:r>
      <w:r w:rsidR="000B56A6">
        <w:rPr>
          <w:sz w:val="24"/>
          <w:szCs w:val="24"/>
        </w:rPr>
        <w:t xml:space="preserve">parental and </w:t>
      </w:r>
      <w:r w:rsidR="001C75F9">
        <w:rPr>
          <w:sz w:val="24"/>
          <w:szCs w:val="24"/>
        </w:rPr>
        <w:t>child</w:t>
      </w:r>
      <w:r w:rsidR="000B56A6">
        <w:rPr>
          <w:sz w:val="24"/>
          <w:szCs w:val="24"/>
        </w:rPr>
        <w:t xml:space="preserve"> involvement</w:t>
      </w:r>
      <w:r w:rsidRPr="000B56A6">
        <w:rPr>
          <w:sz w:val="24"/>
          <w:szCs w:val="24"/>
        </w:rPr>
        <w:t xml:space="preserve">. </w:t>
      </w:r>
      <w:r w:rsidR="000B56A6">
        <w:rPr>
          <w:sz w:val="24"/>
          <w:szCs w:val="24"/>
        </w:rPr>
        <w:t xml:space="preserve"> Schools</w:t>
      </w:r>
      <w:r w:rsidR="00BB020A">
        <w:rPr>
          <w:sz w:val="24"/>
          <w:szCs w:val="24"/>
        </w:rPr>
        <w:t>, colleges</w:t>
      </w:r>
      <w:r w:rsidR="000B56A6">
        <w:rPr>
          <w:sz w:val="24"/>
          <w:szCs w:val="24"/>
        </w:rPr>
        <w:t xml:space="preserve"> and settings have a duty to record this plan</w:t>
      </w:r>
      <w:r w:rsidR="00B2668F">
        <w:rPr>
          <w:sz w:val="24"/>
          <w:szCs w:val="24"/>
        </w:rPr>
        <w:t>, but there is no statutory requirement to use a parti</w:t>
      </w:r>
      <w:r w:rsidR="00C01E82">
        <w:rPr>
          <w:sz w:val="24"/>
          <w:szCs w:val="24"/>
        </w:rPr>
        <w:t>cular format.  Schools</w:t>
      </w:r>
      <w:r w:rsidR="00B2668F">
        <w:rPr>
          <w:sz w:val="24"/>
          <w:szCs w:val="24"/>
        </w:rPr>
        <w:t xml:space="preserve"> and settings may choose their own, for example</w:t>
      </w:r>
      <w:r w:rsidR="000B56A6">
        <w:rPr>
          <w:sz w:val="24"/>
          <w:szCs w:val="24"/>
        </w:rPr>
        <w:t xml:space="preserve"> a</w:t>
      </w:r>
      <w:r w:rsidR="00425DA0">
        <w:rPr>
          <w:sz w:val="24"/>
          <w:szCs w:val="24"/>
        </w:rPr>
        <w:t xml:space="preserve"> provision map, </w:t>
      </w:r>
      <w:r w:rsidRPr="000B56A6">
        <w:rPr>
          <w:sz w:val="24"/>
          <w:szCs w:val="24"/>
        </w:rPr>
        <w:t>My</w:t>
      </w:r>
      <w:r w:rsidR="00425DA0">
        <w:rPr>
          <w:sz w:val="24"/>
          <w:szCs w:val="24"/>
        </w:rPr>
        <w:t xml:space="preserve"> Support</w:t>
      </w:r>
      <w:r w:rsidRPr="000B56A6">
        <w:rPr>
          <w:sz w:val="24"/>
          <w:szCs w:val="24"/>
        </w:rPr>
        <w:t xml:space="preserve"> Plan or IEP. </w:t>
      </w:r>
      <w:r w:rsidR="00B66D25">
        <w:rPr>
          <w:sz w:val="24"/>
          <w:szCs w:val="24"/>
        </w:rPr>
        <w:t xml:space="preserve"> </w:t>
      </w:r>
      <w:r w:rsidR="009C38FE">
        <w:rPr>
          <w:sz w:val="24"/>
          <w:szCs w:val="24"/>
        </w:rPr>
        <w:t>The My Support Plan is</w:t>
      </w:r>
      <w:r w:rsidR="00B2668F">
        <w:rPr>
          <w:sz w:val="24"/>
          <w:szCs w:val="24"/>
        </w:rPr>
        <w:t xml:space="preserve"> Wiltshire’s </w:t>
      </w:r>
      <w:r w:rsidR="00C752F0">
        <w:rPr>
          <w:sz w:val="24"/>
          <w:szCs w:val="24"/>
        </w:rPr>
        <w:t xml:space="preserve">proposed </w:t>
      </w:r>
      <w:r w:rsidR="00B2668F">
        <w:rPr>
          <w:sz w:val="24"/>
          <w:szCs w:val="24"/>
        </w:rPr>
        <w:t>way of recording and planning for children and young people’s needs in a person-centred and collaborative manner</w:t>
      </w:r>
      <w:r w:rsidR="00C752F0">
        <w:rPr>
          <w:sz w:val="24"/>
          <w:szCs w:val="24"/>
        </w:rPr>
        <w:t>, and has been developed in consultation with parents, schools and other agencies</w:t>
      </w:r>
      <w:r w:rsidR="00B2668F">
        <w:rPr>
          <w:sz w:val="24"/>
          <w:szCs w:val="24"/>
        </w:rPr>
        <w:t xml:space="preserve">.  </w:t>
      </w:r>
      <w:r w:rsidR="00C752F0">
        <w:rPr>
          <w:sz w:val="24"/>
          <w:szCs w:val="24"/>
        </w:rPr>
        <w:t>My Support Plans</w:t>
      </w:r>
      <w:r w:rsidR="00B2668F">
        <w:rPr>
          <w:sz w:val="24"/>
          <w:szCs w:val="24"/>
        </w:rPr>
        <w:t xml:space="preserve"> </w:t>
      </w:r>
      <w:r w:rsidR="00EE542D">
        <w:rPr>
          <w:sz w:val="24"/>
          <w:szCs w:val="24"/>
        </w:rPr>
        <w:t>are recommended</w:t>
      </w:r>
      <w:r w:rsidR="00B2668F">
        <w:rPr>
          <w:sz w:val="24"/>
          <w:szCs w:val="24"/>
        </w:rPr>
        <w:t xml:space="preserve"> for children and young people</w:t>
      </w:r>
      <w:r w:rsidR="000167E4">
        <w:rPr>
          <w:sz w:val="24"/>
          <w:szCs w:val="24"/>
        </w:rPr>
        <w:t>:</w:t>
      </w:r>
      <w:r w:rsidR="00B2668F">
        <w:rPr>
          <w:sz w:val="24"/>
          <w:szCs w:val="24"/>
        </w:rPr>
        <w:t xml:space="preserve"> </w:t>
      </w:r>
    </w:p>
    <w:p w:rsidR="009C38FE" w:rsidRDefault="009C38FE" w:rsidP="00F62B7A">
      <w:pPr>
        <w:ind w:right="141"/>
        <w:rPr>
          <w:sz w:val="24"/>
          <w:szCs w:val="24"/>
        </w:rPr>
      </w:pPr>
    </w:p>
    <w:p w:rsidR="009C38FE" w:rsidRPr="009C38FE" w:rsidRDefault="009C38FE" w:rsidP="009725F9">
      <w:pPr>
        <w:pStyle w:val="Body"/>
        <w:numPr>
          <w:ilvl w:val="0"/>
          <w:numId w:val="12"/>
        </w:numPr>
        <w:rPr>
          <w:rFonts w:ascii="Calibri" w:eastAsia="Times New Roman" w:hAnsi="Calibri" w:cs="Arial"/>
          <w:color w:val="auto"/>
          <w:sz w:val="24"/>
          <w:szCs w:val="24"/>
          <w:bdr w:val="none" w:sz="0" w:space="0" w:color="auto"/>
        </w:rPr>
      </w:pPr>
      <w:r w:rsidRPr="009C38FE">
        <w:rPr>
          <w:rFonts w:ascii="Calibri" w:eastAsia="Times New Roman" w:hAnsi="Calibri" w:cs="Arial"/>
          <w:color w:val="auto"/>
          <w:sz w:val="24"/>
          <w:szCs w:val="24"/>
          <w:bdr w:val="none" w:sz="0" w:space="0" w:color="auto"/>
        </w:rPr>
        <w:t>who are failing to make adequate progress despite support</w:t>
      </w:r>
    </w:p>
    <w:p w:rsidR="009C38FE" w:rsidRPr="009C38FE" w:rsidRDefault="009C38FE" w:rsidP="009725F9">
      <w:pPr>
        <w:pStyle w:val="Body"/>
        <w:numPr>
          <w:ilvl w:val="0"/>
          <w:numId w:val="12"/>
        </w:numPr>
        <w:rPr>
          <w:rFonts w:ascii="Calibri" w:eastAsia="Times New Roman" w:hAnsi="Calibri" w:cs="Arial"/>
          <w:color w:val="auto"/>
          <w:sz w:val="24"/>
          <w:szCs w:val="24"/>
          <w:bdr w:val="none" w:sz="0" w:space="0" w:color="auto"/>
        </w:rPr>
      </w:pPr>
      <w:r w:rsidRPr="009C38FE">
        <w:rPr>
          <w:rFonts w:ascii="Calibri" w:eastAsia="Times New Roman" w:hAnsi="Calibri" w:cs="Arial"/>
          <w:color w:val="auto"/>
          <w:sz w:val="24"/>
          <w:szCs w:val="24"/>
          <w:bdr w:val="none" w:sz="0" w:space="0" w:color="auto"/>
        </w:rPr>
        <w:t>for whom you are seeking outside agency involvement</w:t>
      </w:r>
    </w:p>
    <w:p w:rsidR="009C38FE" w:rsidRPr="009C38FE" w:rsidRDefault="009C38FE" w:rsidP="009725F9">
      <w:pPr>
        <w:pStyle w:val="Body"/>
        <w:numPr>
          <w:ilvl w:val="0"/>
          <w:numId w:val="12"/>
        </w:numPr>
        <w:rPr>
          <w:rFonts w:ascii="Calibri" w:eastAsia="Times New Roman" w:hAnsi="Calibri" w:cs="Arial"/>
          <w:color w:val="auto"/>
          <w:sz w:val="24"/>
          <w:szCs w:val="24"/>
          <w:bdr w:val="none" w:sz="0" w:space="0" w:color="auto"/>
        </w:rPr>
      </w:pPr>
      <w:proofErr w:type="gramStart"/>
      <w:r w:rsidRPr="009C38FE">
        <w:rPr>
          <w:rFonts w:ascii="Calibri" w:eastAsia="Times New Roman" w:hAnsi="Calibri" w:cs="Arial"/>
          <w:color w:val="auto"/>
          <w:sz w:val="24"/>
          <w:szCs w:val="24"/>
          <w:bdr w:val="none" w:sz="0" w:space="0" w:color="auto"/>
        </w:rPr>
        <w:t>for</w:t>
      </w:r>
      <w:proofErr w:type="gramEnd"/>
      <w:r w:rsidRPr="009C38FE">
        <w:rPr>
          <w:rFonts w:ascii="Calibri" w:eastAsia="Times New Roman" w:hAnsi="Calibri" w:cs="Arial"/>
          <w:color w:val="auto"/>
          <w:sz w:val="24"/>
          <w:szCs w:val="24"/>
          <w:bdr w:val="none" w:sz="0" w:space="0" w:color="auto"/>
        </w:rPr>
        <w:t xml:space="preserve"> whom you are gathering evidence for a requ</w:t>
      </w:r>
      <w:r w:rsidR="00A30322">
        <w:rPr>
          <w:rFonts w:ascii="Calibri" w:eastAsia="Times New Roman" w:hAnsi="Calibri" w:cs="Arial"/>
          <w:color w:val="auto"/>
          <w:sz w:val="24"/>
          <w:szCs w:val="24"/>
          <w:bdr w:val="none" w:sz="0" w:space="0" w:color="auto"/>
        </w:rPr>
        <w:t>est for an EHC needs assessment.</w:t>
      </w:r>
    </w:p>
    <w:p w:rsidR="009C38FE" w:rsidRDefault="009C38FE" w:rsidP="009C38FE">
      <w:pPr>
        <w:pStyle w:val="Body"/>
      </w:pPr>
    </w:p>
    <w:p w:rsidR="00F62B7A" w:rsidRPr="009C38FE" w:rsidRDefault="009C38FE" w:rsidP="00F62B7A">
      <w:pPr>
        <w:ind w:right="141"/>
        <w:rPr>
          <w:sz w:val="28"/>
          <w:szCs w:val="24"/>
        </w:rPr>
      </w:pPr>
      <w:r w:rsidRPr="000B56A6">
        <w:rPr>
          <w:sz w:val="24"/>
          <w:szCs w:val="24"/>
        </w:rPr>
        <w:t>Gui</w:t>
      </w:r>
      <w:r>
        <w:rPr>
          <w:sz w:val="24"/>
          <w:szCs w:val="24"/>
        </w:rPr>
        <w:t>dance on provision maps and My Support Plans c</w:t>
      </w:r>
      <w:r w:rsidRPr="000B56A6">
        <w:rPr>
          <w:sz w:val="24"/>
          <w:szCs w:val="24"/>
        </w:rPr>
        <w:t>an be accessed fro</w:t>
      </w:r>
      <w:r>
        <w:rPr>
          <w:sz w:val="24"/>
          <w:szCs w:val="24"/>
        </w:rPr>
        <w:t xml:space="preserve">m the </w:t>
      </w:r>
      <w:hyperlink r:id="rId23" w:history="1">
        <w:r w:rsidRPr="00425DA0">
          <w:rPr>
            <w:rStyle w:val="Hyperlink"/>
            <w:sz w:val="24"/>
            <w:szCs w:val="24"/>
          </w:rPr>
          <w:t xml:space="preserve">Wiltshire Council </w:t>
        </w:r>
        <w:r>
          <w:rPr>
            <w:rStyle w:val="Hyperlink"/>
            <w:sz w:val="24"/>
            <w:szCs w:val="24"/>
          </w:rPr>
          <w:t xml:space="preserve">WISENET </w:t>
        </w:r>
        <w:r w:rsidRPr="00425DA0">
          <w:rPr>
            <w:rStyle w:val="Hyperlink"/>
            <w:sz w:val="24"/>
            <w:szCs w:val="24"/>
          </w:rPr>
          <w:t>website</w:t>
        </w:r>
      </w:hyperlink>
      <w:r w:rsidRPr="009C38FE">
        <w:rPr>
          <w:sz w:val="24"/>
        </w:rPr>
        <w:t>.</w:t>
      </w:r>
    </w:p>
    <w:p w:rsidR="000B56A6" w:rsidRPr="000B56A6" w:rsidRDefault="000B56A6" w:rsidP="00F62B7A">
      <w:pPr>
        <w:ind w:right="141"/>
        <w:rPr>
          <w:sz w:val="24"/>
          <w:szCs w:val="24"/>
        </w:rPr>
      </w:pPr>
    </w:p>
    <w:p w:rsidR="00F62B7A" w:rsidRPr="000B56A6" w:rsidRDefault="000B56A6" w:rsidP="00F62B7A">
      <w:pPr>
        <w:ind w:right="141"/>
        <w:rPr>
          <w:sz w:val="24"/>
          <w:szCs w:val="24"/>
        </w:rPr>
      </w:pPr>
      <w:r>
        <w:rPr>
          <w:sz w:val="24"/>
          <w:szCs w:val="24"/>
        </w:rPr>
        <w:t xml:space="preserve">Outcomes that are apsirational and </w:t>
      </w:r>
      <w:r w:rsidR="00F62B7A" w:rsidRPr="000B56A6">
        <w:rPr>
          <w:sz w:val="24"/>
          <w:szCs w:val="24"/>
        </w:rPr>
        <w:t>Specific, Meas</w:t>
      </w:r>
      <w:r w:rsidR="00146678">
        <w:rPr>
          <w:sz w:val="24"/>
          <w:szCs w:val="24"/>
        </w:rPr>
        <w:t xml:space="preserve">urable, Agreed, Realistic, Time-bound </w:t>
      </w:r>
      <w:r w:rsidR="00F62B7A" w:rsidRPr="000B56A6">
        <w:rPr>
          <w:sz w:val="24"/>
          <w:szCs w:val="24"/>
        </w:rPr>
        <w:t xml:space="preserve">(SMART) </w:t>
      </w:r>
      <w:r>
        <w:rPr>
          <w:sz w:val="24"/>
          <w:szCs w:val="24"/>
        </w:rPr>
        <w:t xml:space="preserve">are identified </w:t>
      </w:r>
      <w:r w:rsidR="00F62B7A" w:rsidRPr="000B56A6">
        <w:rPr>
          <w:sz w:val="24"/>
          <w:szCs w:val="24"/>
        </w:rPr>
        <w:t xml:space="preserve">in consultation with </w:t>
      </w:r>
      <w:r w:rsidR="00714E76" w:rsidRPr="00714E76">
        <w:rPr>
          <w:sz w:val="24"/>
          <w:szCs w:val="24"/>
        </w:rPr>
        <w:t>parents/carers</w:t>
      </w:r>
      <w:r w:rsidR="00F62B7A" w:rsidRPr="000B56A6">
        <w:rPr>
          <w:sz w:val="24"/>
          <w:szCs w:val="24"/>
        </w:rPr>
        <w:t xml:space="preserve"> and the child or young person, and provision is identified to support this</w:t>
      </w:r>
      <w:r w:rsidR="00C01E82">
        <w:rPr>
          <w:sz w:val="24"/>
          <w:szCs w:val="24"/>
        </w:rPr>
        <w:t>. All teachers and practitioners</w:t>
      </w:r>
      <w:r w:rsidR="00F62B7A" w:rsidRPr="000B56A6">
        <w:rPr>
          <w:sz w:val="24"/>
          <w:szCs w:val="24"/>
        </w:rPr>
        <w:t xml:space="preserve"> who work with the child should be made aware of the child or young person’s needs, as well as the agreed support and teaching strategies or approaches that are required. This should be recorded on the </w:t>
      </w:r>
      <w:proofErr w:type="gramStart"/>
      <w:r w:rsidR="00F62B7A" w:rsidRPr="000B56A6">
        <w:rPr>
          <w:sz w:val="24"/>
          <w:szCs w:val="24"/>
        </w:rPr>
        <w:t>school’s</w:t>
      </w:r>
      <w:proofErr w:type="gramEnd"/>
      <w:r w:rsidR="00F62B7A" w:rsidRPr="000B56A6">
        <w:rPr>
          <w:sz w:val="24"/>
          <w:szCs w:val="24"/>
        </w:rPr>
        <w:t xml:space="preserve"> </w:t>
      </w:r>
      <w:r w:rsidR="006963DD">
        <w:rPr>
          <w:sz w:val="24"/>
          <w:szCs w:val="24"/>
        </w:rPr>
        <w:t xml:space="preserve">and Early Years setting </w:t>
      </w:r>
      <w:r w:rsidR="00F62B7A" w:rsidRPr="000B56A6">
        <w:rPr>
          <w:sz w:val="24"/>
          <w:szCs w:val="24"/>
        </w:rPr>
        <w:t>information system</w:t>
      </w:r>
      <w:r w:rsidR="006963DD">
        <w:rPr>
          <w:sz w:val="24"/>
          <w:szCs w:val="24"/>
        </w:rPr>
        <w:t>s</w:t>
      </w:r>
      <w:r w:rsidR="00F62B7A" w:rsidRPr="000B56A6">
        <w:rPr>
          <w:sz w:val="24"/>
          <w:szCs w:val="24"/>
        </w:rPr>
        <w:t xml:space="preserve">.  </w:t>
      </w:r>
    </w:p>
    <w:p w:rsidR="003F206E" w:rsidRDefault="003F206E" w:rsidP="003F206E">
      <w:pPr>
        <w:ind w:right="141"/>
        <w:rPr>
          <w:sz w:val="22"/>
          <w:szCs w:val="22"/>
        </w:rPr>
      </w:pPr>
    </w:p>
    <w:tbl>
      <w:tblPr>
        <w:tblStyle w:val="TableGrid"/>
        <w:tblW w:w="0" w:type="auto"/>
        <w:tblInd w:w="-176" w:type="dxa"/>
        <w:tblLook w:val="04A0"/>
      </w:tblPr>
      <w:tblGrid>
        <w:gridCol w:w="9747"/>
      </w:tblGrid>
      <w:tr w:rsidR="003F206E" w:rsidTr="00EC3573">
        <w:tc>
          <w:tcPr>
            <w:tcW w:w="9747" w:type="dxa"/>
            <w:shd w:val="clear" w:color="auto" w:fill="1F497D" w:themeFill="text2"/>
          </w:tcPr>
          <w:p w:rsidR="003F206E" w:rsidRPr="00072688" w:rsidRDefault="00C01E82" w:rsidP="00EC3573">
            <w:pPr>
              <w:pStyle w:val="tab"/>
              <w:rPr>
                <w:b/>
              </w:rPr>
            </w:pPr>
            <w:r>
              <w:rPr>
                <w:b/>
              </w:rPr>
              <w:t>Child</w:t>
            </w:r>
            <w:r w:rsidR="00133BCB" w:rsidRPr="00133BCB">
              <w:rPr>
                <w:b/>
              </w:rPr>
              <w:t xml:space="preserve"> profile</w:t>
            </w:r>
            <w:r w:rsidR="003F206E" w:rsidRPr="00072688">
              <w:rPr>
                <w:b/>
              </w:rPr>
              <w:t xml:space="preserve">: </w:t>
            </w:r>
            <w:r w:rsidR="003F206E">
              <w:rPr>
                <w:b/>
              </w:rPr>
              <w:t>Essential SEND support</w:t>
            </w:r>
          </w:p>
          <w:p w:rsidR="003F206E" w:rsidRDefault="003F206E" w:rsidP="00EC3573">
            <w:pPr>
              <w:pStyle w:val="tab"/>
            </w:pPr>
          </w:p>
          <w:p w:rsidR="003F206E" w:rsidRDefault="003F206E" w:rsidP="00EC3573">
            <w:pPr>
              <w:pStyle w:val="tab"/>
              <w:ind w:right="-1"/>
              <w:rPr>
                <w:sz w:val="28"/>
              </w:rPr>
            </w:pPr>
            <w:r>
              <w:rPr>
                <w:sz w:val="28"/>
              </w:rPr>
              <w:t>Provides a checklist and prompts to ensure essential actions are carried out and key individuals have been involved when planning provision.</w:t>
            </w:r>
          </w:p>
          <w:p w:rsidR="003F206E" w:rsidRDefault="003F206E" w:rsidP="00EC3573">
            <w:pPr>
              <w:pStyle w:val="tab"/>
              <w:ind w:right="-1"/>
            </w:pPr>
          </w:p>
        </w:tc>
      </w:tr>
    </w:tbl>
    <w:p w:rsidR="003F206E" w:rsidRDefault="003F206E" w:rsidP="003F206E">
      <w:pPr>
        <w:ind w:right="141"/>
        <w:rPr>
          <w:sz w:val="24"/>
          <w:szCs w:val="22"/>
        </w:rPr>
      </w:pPr>
    </w:p>
    <w:p w:rsidR="00F62B7A" w:rsidRPr="000B56A6" w:rsidRDefault="00F62B7A" w:rsidP="00F62B7A">
      <w:pPr>
        <w:ind w:right="141"/>
        <w:rPr>
          <w:sz w:val="24"/>
          <w:szCs w:val="24"/>
        </w:rPr>
      </w:pPr>
      <w:r w:rsidRPr="000B56A6">
        <w:rPr>
          <w:sz w:val="24"/>
          <w:szCs w:val="24"/>
        </w:rPr>
        <w:t>It is the child or young person’s class</w:t>
      </w:r>
      <w:r w:rsidR="006963DD">
        <w:rPr>
          <w:sz w:val="24"/>
          <w:szCs w:val="24"/>
        </w:rPr>
        <w:t>/setting</w:t>
      </w:r>
      <w:r w:rsidRPr="000B56A6">
        <w:rPr>
          <w:sz w:val="24"/>
          <w:szCs w:val="24"/>
        </w:rPr>
        <w:t xml:space="preserve"> or subject teacher</w:t>
      </w:r>
      <w:r w:rsidR="006963DD">
        <w:rPr>
          <w:sz w:val="24"/>
          <w:szCs w:val="24"/>
        </w:rPr>
        <w:t>/practitioner</w:t>
      </w:r>
      <w:r w:rsidRPr="000B56A6">
        <w:rPr>
          <w:sz w:val="24"/>
          <w:szCs w:val="24"/>
        </w:rPr>
        <w:t xml:space="preserve"> who should remain responsible for implementing the strategies and interventions, and it is the teacher’s</w:t>
      </w:r>
      <w:r w:rsidR="006963DD">
        <w:rPr>
          <w:sz w:val="24"/>
          <w:szCs w:val="24"/>
        </w:rPr>
        <w:t>/practitioners</w:t>
      </w:r>
      <w:r w:rsidRPr="000B56A6">
        <w:rPr>
          <w:sz w:val="24"/>
          <w:szCs w:val="24"/>
        </w:rPr>
        <w:t xml:space="preserve"> responsibility to plan and assess the impact of interventions, working closely with </w:t>
      </w:r>
      <w:r w:rsidR="006963DD">
        <w:rPr>
          <w:sz w:val="24"/>
          <w:szCs w:val="24"/>
        </w:rPr>
        <w:t xml:space="preserve">parents/carers and </w:t>
      </w:r>
      <w:r w:rsidRPr="000B56A6">
        <w:rPr>
          <w:sz w:val="24"/>
          <w:szCs w:val="24"/>
        </w:rPr>
        <w:t>any teaching assistants or specialist staff.  The SE</w:t>
      </w:r>
      <w:r w:rsidR="000B56A6">
        <w:rPr>
          <w:sz w:val="24"/>
          <w:szCs w:val="24"/>
        </w:rPr>
        <w:t>NCO</w:t>
      </w:r>
      <w:r w:rsidRPr="000B56A6">
        <w:rPr>
          <w:sz w:val="24"/>
          <w:szCs w:val="24"/>
        </w:rPr>
        <w:t xml:space="preserve"> should support the teacher</w:t>
      </w:r>
      <w:r w:rsidR="006963DD">
        <w:rPr>
          <w:sz w:val="24"/>
          <w:szCs w:val="24"/>
        </w:rPr>
        <w:t>/practitioner</w:t>
      </w:r>
      <w:r w:rsidRPr="000B56A6">
        <w:rPr>
          <w:sz w:val="24"/>
          <w:szCs w:val="24"/>
        </w:rPr>
        <w:t xml:space="preserve"> in problem solving and evaluating the effectiveness of interventions.</w:t>
      </w:r>
      <w:r w:rsidR="00685330">
        <w:rPr>
          <w:sz w:val="24"/>
          <w:szCs w:val="24"/>
        </w:rPr>
        <w:t xml:space="preserve">  </w:t>
      </w:r>
      <w:r w:rsidRPr="00685330">
        <w:rPr>
          <w:sz w:val="24"/>
          <w:szCs w:val="24"/>
        </w:rPr>
        <w:t>(</w:t>
      </w:r>
      <w:r w:rsidR="00685330" w:rsidRPr="00685330">
        <w:rPr>
          <w:sz w:val="24"/>
          <w:szCs w:val="24"/>
        </w:rPr>
        <w:t>Chapter 6, SEND Code of Practice: 0-25</w:t>
      </w:r>
      <w:r w:rsidR="00685330" w:rsidRPr="00CA487C">
        <w:rPr>
          <w:sz w:val="24"/>
          <w:szCs w:val="24"/>
        </w:rPr>
        <w:t xml:space="preserve"> years </w:t>
      </w:r>
      <w:r w:rsidR="00BB020A">
        <w:rPr>
          <w:sz w:val="24"/>
          <w:szCs w:val="24"/>
        </w:rPr>
        <w:t>[</w:t>
      </w:r>
      <w:r w:rsidR="00685330" w:rsidRPr="00CA487C">
        <w:rPr>
          <w:sz w:val="24"/>
          <w:szCs w:val="24"/>
        </w:rPr>
        <w:t>July 2014</w:t>
      </w:r>
      <w:r w:rsidR="00BB020A">
        <w:rPr>
          <w:sz w:val="24"/>
          <w:szCs w:val="24"/>
        </w:rPr>
        <w:t>]</w:t>
      </w:r>
      <w:r w:rsidR="00685330" w:rsidRPr="00BB020A">
        <w:rPr>
          <w:sz w:val="24"/>
          <w:szCs w:val="24"/>
        </w:rPr>
        <w:t>)</w:t>
      </w:r>
      <w:r w:rsidR="00BB020A">
        <w:rPr>
          <w:sz w:val="24"/>
          <w:szCs w:val="24"/>
        </w:rPr>
        <w:t>.</w:t>
      </w:r>
    </w:p>
    <w:p w:rsidR="00F62B7A" w:rsidRDefault="00F62B7A" w:rsidP="00F62B7A">
      <w:pPr>
        <w:ind w:right="141"/>
        <w:rPr>
          <w:sz w:val="22"/>
          <w:szCs w:val="22"/>
        </w:rPr>
      </w:pPr>
    </w:p>
    <w:p w:rsidR="000A293E" w:rsidRDefault="003F206E" w:rsidP="00F62B7A">
      <w:pPr>
        <w:ind w:right="141"/>
        <w:rPr>
          <w:sz w:val="24"/>
          <w:szCs w:val="22"/>
        </w:rPr>
      </w:pPr>
      <w:r>
        <w:rPr>
          <w:sz w:val="24"/>
          <w:szCs w:val="22"/>
        </w:rPr>
        <w:lastRenderedPageBreak/>
        <w:t xml:space="preserve">Once outcomes have been set, further work may be needed to identify strategies, evaluate and select interventions or seek further information, resources or training.  The </w:t>
      </w:r>
      <w:r w:rsidR="001C75F9">
        <w:rPr>
          <w:b/>
          <w:sz w:val="24"/>
          <w:szCs w:val="22"/>
        </w:rPr>
        <w:t>Child</w:t>
      </w:r>
      <w:r w:rsidR="00133BCB" w:rsidRPr="00133BCB">
        <w:rPr>
          <w:b/>
          <w:sz w:val="24"/>
          <w:szCs w:val="22"/>
        </w:rPr>
        <w:t xml:space="preserve"> profile</w:t>
      </w:r>
      <w:r>
        <w:rPr>
          <w:sz w:val="24"/>
          <w:szCs w:val="22"/>
        </w:rPr>
        <w:t xml:space="preserve"> provides further support and guidance to assist education professionals with these steps of planning.</w:t>
      </w:r>
    </w:p>
    <w:p w:rsidR="003F206E" w:rsidRDefault="003F206E" w:rsidP="00F62B7A">
      <w:pPr>
        <w:ind w:right="141"/>
        <w:rPr>
          <w:sz w:val="24"/>
          <w:szCs w:val="22"/>
        </w:rPr>
      </w:pPr>
    </w:p>
    <w:tbl>
      <w:tblPr>
        <w:tblStyle w:val="TableGrid"/>
        <w:tblW w:w="0" w:type="auto"/>
        <w:tblInd w:w="-176" w:type="dxa"/>
        <w:tblLook w:val="04A0"/>
      </w:tblPr>
      <w:tblGrid>
        <w:gridCol w:w="9747"/>
      </w:tblGrid>
      <w:tr w:rsidR="003F206E" w:rsidTr="00EC3573">
        <w:tc>
          <w:tcPr>
            <w:tcW w:w="9747" w:type="dxa"/>
            <w:shd w:val="clear" w:color="auto" w:fill="1F497D" w:themeFill="text2"/>
          </w:tcPr>
          <w:p w:rsidR="003F206E" w:rsidRPr="00072688" w:rsidRDefault="00C01E82" w:rsidP="00EC3573">
            <w:pPr>
              <w:pStyle w:val="tab"/>
              <w:rPr>
                <w:b/>
              </w:rPr>
            </w:pPr>
            <w:r>
              <w:rPr>
                <w:b/>
              </w:rPr>
              <w:t>Child</w:t>
            </w:r>
            <w:r w:rsidR="00133BCB" w:rsidRPr="00133BCB">
              <w:rPr>
                <w:b/>
              </w:rPr>
              <w:t xml:space="preserve"> profile</w:t>
            </w:r>
            <w:r w:rsidR="003F206E" w:rsidRPr="00072688">
              <w:rPr>
                <w:b/>
              </w:rPr>
              <w:t xml:space="preserve">: </w:t>
            </w:r>
            <w:r w:rsidR="003F206E">
              <w:rPr>
                <w:b/>
              </w:rPr>
              <w:t>Further SEND support</w:t>
            </w:r>
          </w:p>
          <w:p w:rsidR="003F206E" w:rsidRDefault="003F206E" w:rsidP="00EC3573">
            <w:pPr>
              <w:pStyle w:val="tab"/>
            </w:pPr>
          </w:p>
          <w:p w:rsidR="003F206E" w:rsidRDefault="003F206E" w:rsidP="00146678">
            <w:pPr>
              <w:pStyle w:val="tab"/>
              <w:ind w:right="141"/>
              <w:rPr>
                <w:sz w:val="28"/>
              </w:rPr>
            </w:pPr>
            <w:r>
              <w:rPr>
                <w:sz w:val="28"/>
              </w:rPr>
              <w:t xml:space="preserve">The </w:t>
            </w:r>
            <w:r w:rsidR="00357057">
              <w:rPr>
                <w:b/>
                <w:sz w:val="28"/>
              </w:rPr>
              <w:t>S</w:t>
            </w:r>
            <w:r w:rsidRPr="00357057">
              <w:rPr>
                <w:b/>
                <w:sz w:val="28"/>
              </w:rPr>
              <w:t>trategy bank</w:t>
            </w:r>
            <w:r>
              <w:rPr>
                <w:sz w:val="28"/>
              </w:rPr>
              <w:t xml:space="preserve"> contains a list of commonly used strategies and interventions for each area of need</w:t>
            </w:r>
            <w:r w:rsidR="00357057">
              <w:rPr>
                <w:sz w:val="28"/>
              </w:rPr>
              <w:t xml:space="preserve"> and for each key stage</w:t>
            </w:r>
            <w:r>
              <w:rPr>
                <w:sz w:val="28"/>
              </w:rPr>
              <w:t xml:space="preserve">.  The lists are not exhaustive and </w:t>
            </w:r>
            <w:r w:rsidR="00357057">
              <w:rPr>
                <w:sz w:val="28"/>
              </w:rPr>
              <w:t xml:space="preserve">not all strategies will be useful in all situations.  </w:t>
            </w:r>
            <w:r w:rsidR="00C47585">
              <w:rPr>
                <w:sz w:val="28"/>
              </w:rPr>
              <w:t xml:space="preserve">There may be some cross over or repetition of strategies, as appropriate.  </w:t>
            </w:r>
            <w:r w:rsidR="00357057">
              <w:rPr>
                <w:sz w:val="28"/>
              </w:rPr>
              <w:t>They are intended as helpful prompts rather than a ‘to do’ list.</w:t>
            </w:r>
          </w:p>
          <w:p w:rsidR="00357057" w:rsidRDefault="00357057" w:rsidP="00EC3573">
            <w:pPr>
              <w:pStyle w:val="tab"/>
              <w:ind w:right="-1"/>
              <w:rPr>
                <w:sz w:val="28"/>
              </w:rPr>
            </w:pPr>
          </w:p>
          <w:p w:rsidR="00357057" w:rsidRDefault="00357057" w:rsidP="00146678">
            <w:pPr>
              <w:pStyle w:val="tab"/>
              <w:ind w:right="141"/>
              <w:rPr>
                <w:sz w:val="28"/>
              </w:rPr>
            </w:pPr>
            <w:r>
              <w:rPr>
                <w:sz w:val="28"/>
              </w:rPr>
              <w:t>This section also contains links to documents and websites that should aid education professionals to make informed choices about programmes and re</w:t>
            </w:r>
            <w:r w:rsidR="00EC3573">
              <w:rPr>
                <w:sz w:val="28"/>
              </w:rPr>
              <w:t>sources for each area of need.  Schools</w:t>
            </w:r>
            <w:proofErr w:type="gramStart"/>
            <w:r w:rsidR="006963DD">
              <w:rPr>
                <w:sz w:val="28"/>
              </w:rPr>
              <w:t xml:space="preserve">, </w:t>
            </w:r>
            <w:r w:rsidR="00EC3573">
              <w:rPr>
                <w:sz w:val="28"/>
              </w:rPr>
              <w:t xml:space="preserve"> and</w:t>
            </w:r>
            <w:proofErr w:type="gramEnd"/>
            <w:r w:rsidR="00EC3573">
              <w:rPr>
                <w:sz w:val="28"/>
              </w:rPr>
              <w:t xml:space="preserve"> settings should always ensure the interventions and programmes they use have a strong evidence base.  In order to achieve the best possible results from intervention programmes it is vital that those delivering the intervention shou</w:t>
            </w:r>
            <w:r w:rsidR="00B66D25">
              <w:rPr>
                <w:sz w:val="28"/>
              </w:rPr>
              <w:t>ld be trained and should adhere to the guidance accompanying the materials.</w:t>
            </w:r>
          </w:p>
          <w:p w:rsidR="00EC3573" w:rsidRDefault="00EC3573" w:rsidP="00EC3573">
            <w:pPr>
              <w:pStyle w:val="tab"/>
              <w:ind w:right="-1"/>
              <w:rPr>
                <w:sz w:val="28"/>
              </w:rPr>
            </w:pPr>
          </w:p>
          <w:p w:rsidR="00EC3573" w:rsidRDefault="00EC3573" w:rsidP="00EC3573">
            <w:pPr>
              <w:pStyle w:val="tab"/>
              <w:ind w:right="-1"/>
              <w:rPr>
                <w:sz w:val="28"/>
              </w:rPr>
            </w:pPr>
            <w:r>
              <w:rPr>
                <w:sz w:val="28"/>
              </w:rPr>
              <w:t xml:space="preserve">Finally, there is a list of websites in each area of need that provide further helpful information, resources and on-line training.  The websites lists include links to resources local to Wiltshire such as Support in Wiltshire for Autism: School </w:t>
            </w:r>
            <w:r w:rsidR="006963DD">
              <w:rPr>
                <w:sz w:val="28"/>
              </w:rPr>
              <w:t xml:space="preserve">/setting </w:t>
            </w:r>
            <w:r>
              <w:rPr>
                <w:sz w:val="28"/>
              </w:rPr>
              <w:t>Strategies (SWASS) and to national organisations such as NASEN and RNIB.  The selected websites are mostly national, not-for-profit organisations; links to commercial websites have not been included. However, it should be noted that whilst much of the information and resources are free, many of the websites charge for particular services or resources.</w:t>
            </w:r>
          </w:p>
          <w:p w:rsidR="003F206E" w:rsidRDefault="003F206E" w:rsidP="00EC3573">
            <w:pPr>
              <w:pStyle w:val="tab"/>
              <w:ind w:right="-1"/>
            </w:pPr>
          </w:p>
        </w:tc>
      </w:tr>
    </w:tbl>
    <w:p w:rsidR="003F206E" w:rsidRDefault="003F206E" w:rsidP="003F206E">
      <w:pPr>
        <w:ind w:right="141"/>
        <w:rPr>
          <w:sz w:val="24"/>
          <w:szCs w:val="22"/>
        </w:rPr>
      </w:pPr>
    </w:p>
    <w:p w:rsidR="00357057" w:rsidRDefault="00AE4F6F" w:rsidP="00357057">
      <w:pPr>
        <w:ind w:right="141"/>
        <w:rPr>
          <w:sz w:val="24"/>
          <w:szCs w:val="22"/>
        </w:rPr>
      </w:pPr>
      <w:r w:rsidRPr="0026336C">
        <w:rPr>
          <w:sz w:val="24"/>
          <w:szCs w:val="22"/>
        </w:rPr>
        <w:t xml:space="preserve">When the provision planned using Essential and Further SEND support </w:t>
      </w:r>
      <w:r w:rsidR="0026336C" w:rsidRPr="0026336C">
        <w:rPr>
          <w:sz w:val="24"/>
          <w:szCs w:val="22"/>
        </w:rPr>
        <w:t xml:space="preserve">is not having a good enough impact on progress towards the agreed outcomes it may be appropriate to access </w:t>
      </w:r>
      <w:r w:rsidR="00B66D25">
        <w:rPr>
          <w:sz w:val="24"/>
          <w:szCs w:val="22"/>
        </w:rPr>
        <w:t>Specialist</w:t>
      </w:r>
      <w:r w:rsidR="0026336C" w:rsidRPr="0026336C">
        <w:rPr>
          <w:sz w:val="24"/>
          <w:szCs w:val="22"/>
        </w:rPr>
        <w:t xml:space="preserve"> SEND support</w:t>
      </w:r>
      <w:r w:rsidRPr="0026336C">
        <w:rPr>
          <w:sz w:val="24"/>
          <w:szCs w:val="22"/>
        </w:rPr>
        <w:t>.</w:t>
      </w:r>
      <w:r w:rsidR="0026336C">
        <w:rPr>
          <w:sz w:val="24"/>
          <w:szCs w:val="22"/>
        </w:rPr>
        <w:t xml:space="preserve">  This might be in the form </w:t>
      </w:r>
      <w:r w:rsidR="006963DD">
        <w:rPr>
          <w:sz w:val="24"/>
          <w:szCs w:val="22"/>
        </w:rPr>
        <w:t xml:space="preserve">of members of school or outside agency </w:t>
      </w:r>
      <w:r w:rsidR="0026336C">
        <w:rPr>
          <w:sz w:val="24"/>
          <w:szCs w:val="22"/>
        </w:rPr>
        <w:t>staff with specialist knowledge or qualifications, internal or external training or external support services.  There are a number of factors to consider when accessing external support:</w:t>
      </w:r>
    </w:p>
    <w:p w:rsidR="0026336C" w:rsidRDefault="0026336C" w:rsidP="00357057">
      <w:pPr>
        <w:ind w:right="141"/>
        <w:rPr>
          <w:sz w:val="24"/>
          <w:szCs w:val="22"/>
        </w:rPr>
      </w:pPr>
    </w:p>
    <w:p w:rsidR="0026336C" w:rsidRPr="00B66D25" w:rsidRDefault="00714E76" w:rsidP="009725F9">
      <w:pPr>
        <w:numPr>
          <w:ilvl w:val="0"/>
          <w:numId w:val="3"/>
        </w:numPr>
        <w:spacing w:after="120"/>
        <w:ind w:left="426" w:right="141"/>
        <w:rPr>
          <w:sz w:val="24"/>
          <w:szCs w:val="22"/>
        </w:rPr>
      </w:pPr>
      <w:r w:rsidRPr="00B66D25">
        <w:rPr>
          <w:sz w:val="24"/>
          <w:szCs w:val="22"/>
        </w:rPr>
        <w:t>Parents/carers</w:t>
      </w:r>
      <w:r w:rsidR="0026336C" w:rsidRPr="00B66D25">
        <w:rPr>
          <w:sz w:val="24"/>
          <w:szCs w:val="22"/>
        </w:rPr>
        <w:t xml:space="preserve"> and the child or young person will need to agree to </w:t>
      </w:r>
      <w:r w:rsidR="006E24A9" w:rsidRPr="00B66D25">
        <w:rPr>
          <w:sz w:val="24"/>
          <w:szCs w:val="22"/>
        </w:rPr>
        <w:t>the</w:t>
      </w:r>
      <w:r w:rsidR="0026336C" w:rsidRPr="00B66D25">
        <w:rPr>
          <w:sz w:val="24"/>
          <w:szCs w:val="22"/>
        </w:rPr>
        <w:t xml:space="preserve"> referral</w:t>
      </w:r>
      <w:r w:rsidR="006E24A9" w:rsidRPr="00B66D25">
        <w:rPr>
          <w:sz w:val="24"/>
          <w:szCs w:val="22"/>
        </w:rPr>
        <w:t>.</w:t>
      </w:r>
    </w:p>
    <w:p w:rsidR="0026336C" w:rsidRPr="00B66D25" w:rsidRDefault="0026336C" w:rsidP="009725F9">
      <w:pPr>
        <w:numPr>
          <w:ilvl w:val="0"/>
          <w:numId w:val="3"/>
        </w:numPr>
        <w:spacing w:after="120"/>
        <w:ind w:left="426" w:right="141"/>
        <w:rPr>
          <w:sz w:val="24"/>
          <w:szCs w:val="22"/>
        </w:rPr>
      </w:pPr>
      <w:r w:rsidRPr="00B66D25">
        <w:rPr>
          <w:sz w:val="24"/>
          <w:szCs w:val="22"/>
        </w:rPr>
        <w:t>Sufficient ef</w:t>
      </w:r>
      <w:r w:rsidR="00C01E82">
        <w:rPr>
          <w:sz w:val="24"/>
          <w:szCs w:val="22"/>
        </w:rPr>
        <w:t xml:space="preserve">forts using the school </w:t>
      </w:r>
      <w:r w:rsidRPr="00B66D25">
        <w:rPr>
          <w:sz w:val="24"/>
          <w:szCs w:val="22"/>
        </w:rPr>
        <w:t xml:space="preserve">or settings own resources should have been made.  Usually, this will mean that several cycles of the </w:t>
      </w:r>
      <w:r w:rsidR="00B66D25" w:rsidRPr="00B66D25">
        <w:rPr>
          <w:sz w:val="24"/>
          <w:szCs w:val="22"/>
        </w:rPr>
        <w:t>“a</w:t>
      </w:r>
      <w:r w:rsidRPr="00B66D25">
        <w:rPr>
          <w:sz w:val="24"/>
          <w:szCs w:val="22"/>
        </w:rPr>
        <w:t xml:space="preserve">ssess, </w:t>
      </w:r>
      <w:r w:rsidR="00B66D25" w:rsidRPr="00B66D25">
        <w:rPr>
          <w:sz w:val="24"/>
          <w:szCs w:val="22"/>
        </w:rPr>
        <w:t xml:space="preserve">plan, do, </w:t>
      </w:r>
      <w:proofErr w:type="gramStart"/>
      <w:r w:rsidR="00B66D25" w:rsidRPr="00B66D25">
        <w:rPr>
          <w:sz w:val="24"/>
          <w:szCs w:val="22"/>
        </w:rPr>
        <w:t>r</w:t>
      </w:r>
      <w:r w:rsidRPr="00B66D25">
        <w:rPr>
          <w:sz w:val="24"/>
          <w:szCs w:val="22"/>
        </w:rPr>
        <w:t>eview</w:t>
      </w:r>
      <w:proofErr w:type="gramEnd"/>
      <w:r w:rsidR="00B66D25" w:rsidRPr="00B66D25">
        <w:rPr>
          <w:sz w:val="24"/>
          <w:szCs w:val="22"/>
        </w:rPr>
        <w:t>”</w:t>
      </w:r>
      <w:r w:rsidRPr="00B66D25">
        <w:rPr>
          <w:sz w:val="24"/>
          <w:szCs w:val="22"/>
        </w:rPr>
        <w:t xml:space="preserve"> approach have been completed.  There is, however no set number of cycles; occasionally it will be </w:t>
      </w:r>
      <w:r w:rsidRPr="00B66D25">
        <w:rPr>
          <w:sz w:val="24"/>
          <w:szCs w:val="22"/>
        </w:rPr>
        <w:lastRenderedPageBreak/>
        <w:t>appropriate to seek advice from external specialists very early on.  This is particularly true for Early Years settings</w:t>
      </w:r>
      <w:r w:rsidR="006E24A9" w:rsidRPr="00B66D25">
        <w:rPr>
          <w:sz w:val="24"/>
          <w:szCs w:val="22"/>
        </w:rPr>
        <w:t>.</w:t>
      </w:r>
    </w:p>
    <w:p w:rsidR="006E24A9" w:rsidRPr="00B66D25" w:rsidRDefault="006E24A9" w:rsidP="009725F9">
      <w:pPr>
        <w:numPr>
          <w:ilvl w:val="0"/>
          <w:numId w:val="3"/>
        </w:numPr>
        <w:spacing w:after="120"/>
        <w:ind w:left="426" w:right="141"/>
        <w:rPr>
          <w:sz w:val="24"/>
          <w:szCs w:val="22"/>
        </w:rPr>
      </w:pPr>
      <w:r w:rsidRPr="00B66D25">
        <w:rPr>
          <w:sz w:val="24"/>
          <w:szCs w:val="22"/>
        </w:rPr>
        <w:t>External services will usually have referral criteria that will need to be met for the referral to be accepted.</w:t>
      </w:r>
    </w:p>
    <w:p w:rsidR="006E24A9" w:rsidRDefault="006E24A9" w:rsidP="00357057">
      <w:pPr>
        <w:ind w:right="141"/>
        <w:rPr>
          <w:sz w:val="22"/>
          <w:szCs w:val="22"/>
        </w:rPr>
      </w:pPr>
    </w:p>
    <w:tbl>
      <w:tblPr>
        <w:tblStyle w:val="TableGrid"/>
        <w:tblW w:w="0" w:type="auto"/>
        <w:tblInd w:w="-176" w:type="dxa"/>
        <w:tblLook w:val="04A0"/>
      </w:tblPr>
      <w:tblGrid>
        <w:gridCol w:w="9747"/>
      </w:tblGrid>
      <w:tr w:rsidR="00357057" w:rsidTr="00EC3573">
        <w:tc>
          <w:tcPr>
            <w:tcW w:w="9747" w:type="dxa"/>
            <w:shd w:val="clear" w:color="auto" w:fill="1F497D" w:themeFill="text2"/>
          </w:tcPr>
          <w:p w:rsidR="00357057" w:rsidRPr="00072688" w:rsidRDefault="002E5F27" w:rsidP="00EC3573">
            <w:pPr>
              <w:pStyle w:val="tab"/>
              <w:rPr>
                <w:b/>
              </w:rPr>
            </w:pPr>
            <w:r>
              <w:rPr>
                <w:b/>
              </w:rPr>
              <w:t>Child</w:t>
            </w:r>
            <w:r w:rsidR="00133BCB" w:rsidRPr="00133BCB">
              <w:rPr>
                <w:b/>
              </w:rPr>
              <w:t xml:space="preserve"> profile</w:t>
            </w:r>
            <w:r w:rsidR="00357057" w:rsidRPr="00072688">
              <w:rPr>
                <w:b/>
              </w:rPr>
              <w:t>:</w:t>
            </w:r>
            <w:r w:rsidR="00051480">
              <w:rPr>
                <w:b/>
              </w:rPr>
              <w:t xml:space="preserve"> Specialist </w:t>
            </w:r>
            <w:r w:rsidR="00357057">
              <w:rPr>
                <w:b/>
              </w:rPr>
              <w:t>SEND support</w:t>
            </w:r>
          </w:p>
          <w:p w:rsidR="00357057" w:rsidRDefault="00357057" w:rsidP="00EC3573">
            <w:pPr>
              <w:pStyle w:val="tab"/>
            </w:pPr>
          </w:p>
          <w:p w:rsidR="00357057" w:rsidRDefault="00357057" w:rsidP="00EC3573">
            <w:pPr>
              <w:pStyle w:val="tab"/>
              <w:ind w:right="-1"/>
              <w:rPr>
                <w:sz w:val="28"/>
              </w:rPr>
            </w:pPr>
            <w:r>
              <w:rPr>
                <w:sz w:val="28"/>
              </w:rPr>
              <w:t xml:space="preserve">Provides a </w:t>
            </w:r>
            <w:r w:rsidR="00161EEC">
              <w:rPr>
                <w:sz w:val="28"/>
              </w:rPr>
              <w:t>place to record contacts and dates where internal or external specialist support has been accessed.</w:t>
            </w:r>
          </w:p>
          <w:p w:rsidR="00357057" w:rsidRDefault="00357057" w:rsidP="00EC3573">
            <w:pPr>
              <w:pStyle w:val="tab"/>
              <w:ind w:right="-1"/>
            </w:pPr>
          </w:p>
        </w:tc>
      </w:tr>
    </w:tbl>
    <w:p w:rsidR="00357057" w:rsidRDefault="00357057" w:rsidP="00357057">
      <w:pPr>
        <w:ind w:right="141"/>
        <w:rPr>
          <w:sz w:val="24"/>
          <w:szCs w:val="22"/>
        </w:rPr>
      </w:pPr>
    </w:p>
    <w:p w:rsidR="003F206E" w:rsidRPr="003F206E" w:rsidRDefault="003F206E" w:rsidP="00F62B7A">
      <w:pPr>
        <w:ind w:right="141"/>
        <w:rPr>
          <w:sz w:val="24"/>
          <w:szCs w:val="22"/>
        </w:rPr>
      </w:pPr>
    </w:p>
    <w:p w:rsidR="003F206E" w:rsidRDefault="003F206E" w:rsidP="00F62B7A">
      <w:pPr>
        <w:ind w:right="141"/>
        <w:rPr>
          <w:sz w:val="22"/>
          <w:szCs w:val="22"/>
        </w:rPr>
      </w:pPr>
    </w:p>
    <w:p w:rsidR="00F92882" w:rsidRDefault="00F92882" w:rsidP="00F62B7A">
      <w:pPr>
        <w:ind w:right="141"/>
        <w:rPr>
          <w:sz w:val="22"/>
          <w:szCs w:val="22"/>
        </w:rPr>
        <w:sectPr w:rsidR="00F92882" w:rsidSect="006F7525">
          <w:headerReference w:type="default" r:id="rId24"/>
          <w:pgSz w:w="11906" w:h="16838"/>
          <w:pgMar w:top="1440" w:right="1274" w:bottom="1440" w:left="993" w:header="708" w:footer="422" w:gutter="0"/>
          <w:pgNumType w:chapStyle="1"/>
          <w:cols w:space="708"/>
          <w:docGrid w:linePitch="360"/>
        </w:sectPr>
      </w:pPr>
    </w:p>
    <w:p w:rsidR="00F62B7A" w:rsidRDefault="003F1F8D" w:rsidP="003F1F8D">
      <w:pPr>
        <w:pStyle w:val="In-pageheading"/>
      </w:pPr>
      <w:bookmarkStart w:id="16" w:name="review"/>
      <w:r>
        <w:lastRenderedPageBreak/>
        <w:t>Review</w:t>
      </w:r>
    </w:p>
    <w:bookmarkEnd w:id="16"/>
    <w:p w:rsidR="00AA0332" w:rsidRDefault="00AA0332" w:rsidP="00AA0332">
      <w:pPr>
        <w:pStyle w:val="Default"/>
      </w:pPr>
    </w:p>
    <w:p w:rsidR="00AA0332" w:rsidRDefault="00AA0332" w:rsidP="00163F4B">
      <w:pPr>
        <w:spacing w:after="120"/>
        <w:ind w:left="142" w:right="851"/>
        <w:rPr>
          <w:sz w:val="24"/>
        </w:rPr>
      </w:pPr>
      <w:r w:rsidRPr="00AA0332">
        <w:rPr>
          <w:sz w:val="24"/>
        </w:rPr>
        <w:t xml:space="preserve">“...earlier decisions and actions are revisited, refined and revised with a growing understanding of the pupil’s needs and of what supports the pupil in making good progress and securing good outcomes.” </w:t>
      </w:r>
    </w:p>
    <w:p w:rsidR="00AA0332" w:rsidRPr="00AA0332" w:rsidRDefault="00AA0332" w:rsidP="00163F4B">
      <w:pPr>
        <w:ind w:left="142"/>
        <w:rPr>
          <w:sz w:val="24"/>
          <w:szCs w:val="24"/>
        </w:rPr>
      </w:pPr>
      <w:r w:rsidRPr="00AA0332">
        <w:rPr>
          <w:sz w:val="24"/>
          <w:szCs w:val="24"/>
        </w:rPr>
        <w:t>SEND Co</w:t>
      </w:r>
      <w:r w:rsidR="00C01E82">
        <w:rPr>
          <w:sz w:val="24"/>
          <w:szCs w:val="24"/>
        </w:rPr>
        <w:t>de of Practice: 0-25 years (January 2015</w:t>
      </w:r>
      <w:r w:rsidRPr="00AA0332">
        <w:rPr>
          <w:sz w:val="24"/>
          <w:szCs w:val="24"/>
        </w:rPr>
        <w:t>), 6.44; p.100.</w:t>
      </w:r>
    </w:p>
    <w:p w:rsidR="00AA0332" w:rsidRDefault="00AA0332" w:rsidP="00F62B7A">
      <w:pPr>
        <w:ind w:right="141"/>
        <w:rPr>
          <w:sz w:val="24"/>
          <w:szCs w:val="22"/>
          <w:u w:val="single"/>
        </w:rPr>
      </w:pPr>
    </w:p>
    <w:p w:rsidR="00F62B7A" w:rsidRDefault="00AA0332" w:rsidP="00F62B7A">
      <w:pPr>
        <w:ind w:right="141"/>
        <w:rPr>
          <w:sz w:val="24"/>
          <w:szCs w:val="22"/>
        </w:rPr>
      </w:pPr>
      <w:r>
        <w:rPr>
          <w:sz w:val="24"/>
          <w:szCs w:val="22"/>
        </w:rPr>
        <w:t>A</w:t>
      </w:r>
      <w:r w:rsidR="00F62B7A" w:rsidRPr="003F1F8D">
        <w:rPr>
          <w:sz w:val="24"/>
          <w:szCs w:val="22"/>
        </w:rPr>
        <w:t xml:space="preserve">s set out in the </w:t>
      </w:r>
      <w:r w:rsidR="003F1F8D" w:rsidRPr="003F1F8D">
        <w:rPr>
          <w:sz w:val="24"/>
          <w:szCs w:val="22"/>
        </w:rPr>
        <w:t>SEND Co</w:t>
      </w:r>
      <w:r w:rsidR="00C01E82">
        <w:rPr>
          <w:sz w:val="24"/>
          <w:szCs w:val="22"/>
        </w:rPr>
        <w:t>de of Practice: 0-25 years (January 2015</w:t>
      </w:r>
      <w:r w:rsidR="003F1F8D" w:rsidRPr="003F1F8D">
        <w:rPr>
          <w:sz w:val="24"/>
          <w:szCs w:val="22"/>
        </w:rPr>
        <w:t>)</w:t>
      </w:r>
      <w:r w:rsidR="00F62B7A" w:rsidRPr="003F1F8D">
        <w:rPr>
          <w:sz w:val="24"/>
          <w:szCs w:val="22"/>
        </w:rPr>
        <w:t>, provision and progress should</w:t>
      </w:r>
      <w:r w:rsidR="003F1F8D">
        <w:rPr>
          <w:sz w:val="24"/>
          <w:szCs w:val="22"/>
        </w:rPr>
        <w:t xml:space="preserve"> be reviewed </w:t>
      </w:r>
      <w:r w:rsidR="003F1F8D" w:rsidRPr="005D3F05">
        <w:rPr>
          <w:b/>
          <w:sz w:val="24"/>
          <w:szCs w:val="22"/>
        </w:rPr>
        <w:t>at least three times a year</w:t>
      </w:r>
      <w:r w:rsidR="003F1F8D">
        <w:rPr>
          <w:sz w:val="24"/>
          <w:szCs w:val="22"/>
        </w:rPr>
        <w:t xml:space="preserve"> </w:t>
      </w:r>
      <w:r w:rsidR="00F62B7A" w:rsidRPr="003F1F8D">
        <w:rPr>
          <w:sz w:val="24"/>
          <w:szCs w:val="22"/>
        </w:rPr>
        <w:t>with parents/carers and the child or young person</w:t>
      </w:r>
      <w:r w:rsidR="003F1F8D">
        <w:rPr>
          <w:sz w:val="24"/>
          <w:szCs w:val="22"/>
        </w:rPr>
        <w:t>.</w:t>
      </w:r>
      <w:r w:rsidR="00F62B7A" w:rsidRPr="003F1F8D">
        <w:rPr>
          <w:sz w:val="24"/>
          <w:szCs w:val="22"/>
        </w:rPr>
        <w:t xml:space="preserve"> The class teacher, </w:t>
      </w:r>
      <w:r w:rsidR="003E5E11">
        <w:rPr>
          <w:sz w:val="24"/>
          <w:szCs w:val="22"/>
        </w:rPr>
        <w:t xml:space="preserve">practitioner </w:t>
      </w:r>
      <w:r w:rsidR="00F62B7A" w:rsidRPr="003F1F8D">
        <w:rPr>
          <w:sz w:val="24"/>
          <w:szCs w:val="22"/>
        </w:rPr>
        <w:t>working with the SENC</w:t>
      </w:r>
      <w:r w:rsidR="00A626F9">
        <w:rPr>
          <w:sz w:val="24"/>
          <w:szCs w:val="22"/>
        </w:rPr>
        <w:t>O</w:t>
      </w:r>
      <w:r w:rsidR="00F62B7A" w:rsidRPr="003F1F8D">
        <w:rPr>
          <w:sz w:val="24"/>
          <w:szCs w:val="22"/>
        </w:rPr>
        <w:t>, should revise t</w:t>
      </w:r>
      <w:r w:rsidR="003E5E11">
        <w:rPr>
          <w:sz w:val="24"/>
          <w:szCs w:val="22"/>
        </w:rPr>
        <w:t>he support in light of the child</w:t>
      </w:r>
      <w:r w:rsidR="00F62B7A" w:rsidRPr="003F1F8D">
        <w:rPr>
          <w:sz w:val="24"/>
          <w:szCs w:val="22"/>
        </w:rPr>
        <w:t xml:space="preserve">’s progress and development, and decide on any changes required. This may include adjustments </w:t>
      </w:r>
      <w:r w:rsidR="003F1F8D">
        <w:rPr>
          <w:sz w:val="24"/>
          <w:szCs w:val="22"/>
        </w:rPr>
        <w:t xml:space="preserve">to the targets or intervention.  </w:t>
      </w:r>
      <w:r w:rsidR="00437886">
        <w:rPr>
          <w:sz w:val="24"/>
          <w:szCs w:val="22"/>
        </w:rPr>
        <w:t>SEN support r</w:t>
      </w:r>
      <w:r w:rsidR="003F1F8D">
        <w:rPr>
          <w:sz w:val="24"/>
          <w:szCs w:val="22"/>
        </w:rPr>
        <w:t>eview meetings should:</w:t>
      </w:r>
    </w:p>
    <w:p w:rsidR="003F1F8D" w:rsidRPr="003F1F8D" w:rsidRDefault="003F1F8D" w:rsidP="003F1F8D">
      <w:pPr>
        <w:rPr>
          <w:sz w:val="18"/>
        </w:rPr>
      </w:pPr>
    </w:p>
    <w:p w:rsidR="003F1F8D" w:rsidRPr="003F1F8D" w:rsidRDefault="003F1F8D" w:rsidP="009725F9">
      <w:pPr>
        <w:pStyle w:val="ListParagraph"/>
        <w:numPr>
          <w:ilvl w:val="0"/>
          <w:numId w:val="6"/>
        </w:numPr>
        <w:spacing w:after="120" w:line="240" w:lineRule="auto"/>
        <w:ind w:left="431" w:hanging="357"/>
        <w:contextualSpacing w:val="0"/>
        <w:rPr>
          <w:sz w:val="24"/>
        </w:rPr>
      </w:pPr>
      <w:r>
        <w:rPr>
          <w:sz w:val="24"/>
        </w:rPr>
        <w:t>Wherever possible, b</w:t>
      </w:r>
      <w:r w:rsidRPr="003F1F8D">
        <w:rPr>
          <w:sz w:val="24"/>
        </w:rPr>
        <w:t xml:space="preserve">e aligned or combined with the usual cycle of discussions with </w:t>
      </w:r>
      <w:r w:rsidR="00714E76" w:rsidRPr="00714E76">
        <w:rPr>
          <w:sz w:val="24"/>
        </w:rPr>
        <w:t>parents/carers</w:t>
      </w:r>
      <w:r w:rsidR="003E5E11">
        <w:rPr>
          <w:sz w:val="24"/>
        </w:rPr>
        <w:t xml:space="preserve"> of all children</w:t>
      </w:r>
      <w:r w:rsidRPr="003F1F8D">
        <w:rPr>
          <w:sz w:val="24"/>
        </w:rPr>
        <w:t xml:space="preserve"> (e.g. </w:t>
      </w:r>
      <w:r w:rsidR="003E5E11">
        <w:rPr>
          <w:sz w:val="24"/>
        </w:rPr>
        <w:t>meetings/parents</w:t>
      </w:r>
      <w:r w:rsidRPr="003F1F8D">
        <w:rPr>
          <w:sz w:val="24"/>
        </w:rPr>
        <w:t xml:space="preserve"> evenings).  </w:t>
      </w:r>
      <w:r w:rsidR="00554792">
        <w:rPr>
          <w:sz w:val="24"/>
        </w:rPr>
        <w:t>They will normally require additional time to that usually offered.</w:t>
      </w:r>
    </w:p>
    <w:p w:rsidR="003F1F8D" w:rsidRPr="003F1F8D" w:rsidRDefault="003F1F8D" w:rsidP="009725F9">
      <w:pPr>
        <w:pStyle w:val="ListParagraph"/>
        <w:numPr>
          <w:ilvl w:val="0"/>
          <w:numId w:val="6"/>
        </w:numPr>
        <w:spacing w:after="120" w:line="240" w:lineRule="auto"/>
        <w:ind w:left="431" w:hanging="357"/>
        <w:contextualSpacing w:val="0"/>
        <w:rPr>
          <w:sz w:val="24"/>
        </w:rPr>
      </w:pPr>
      <w:r w:rsidRPr="003F1F8D">
        <w:rPr>
          <w:sz w:val="24"/>
        </w:rPr>
        <w:t>Be led by a member of staff that knows the child or young person well</w:t>
      </w:r>
      <w:r w:rsidR="00554792">
        <w:rPr>
          <w:sz w:val="24"/>
        </w:rPr>
        <w:t xml:space="preserve"> and who is in a position to make decisions about changes to provision</w:t>
      </w:r>
      <w:r w:rsidRPr="003F1F8D">
        <w:rPr>
          <w:sz w:val="24"/>
        </w:rPr>
        <w:t>.</w:t>
      </w:r>
    </w:p>
    <w:p w:rsidR="003F1F8D" w:rsidRPr="003F1F8D" w:rsidRDefault="003F1F8D" w:rsidP="009725F9">
      <w:pPr>
        <w:pStyle w:val="ListParagraph"/>
        <w:numPr>
          <w:ilvl w:val="0"/>
          <w:numId w:val="6"/>
        </w:numPr>
        <w:spacing w:after="120" w:line="240" w:lineRule="auto"/>
        <w:ind w:left="431" w:hanging="357"/>
        <w:contextualSpacing w:val="0"/>
        <w:rPr>
          <w:sz w:val="24"/>
        </w:rPr>
      </w:pPr>
      <w:r w:rsidRPr="003F1F8D">
        <w:rPr>
          <w:sz w:val="24"/>
        </w:rPr>
        <w:t>Allow sufficient time to gather parents</w:t>
      </w:r>
      <w:r w:rsidR="00554792">
        <w:rPr>
          <w:sz w:val="24"/>
        </w:rPr>
        <w:t>/carers</w:t>
      </w:r>
      <w:r w:rsidRPr="003F1F8D">
        <w:rPr>
          <w:sz w:val="24"/>
        </w:rPr>
        <w:t>’ views and draw up a new plan.</w:t>
      </w:r>
    </w:p>
    <w:p w:rsidR="003F1F8D" w:rsidRDefault="00554792" w:rsidP="009725F9">
      <w:pPr>
        <w:pStyle w:val="ListParagraph"/>
        <w:numPr>
          <w:ilvl w:val="0"/>
          <w:numId w:val="6"/>
        </w:numPr>
        <w:spacing w:after="120" w:line="240" w:lineRule="auto"/>
        <w:ind w:left="431" w:hanging="357"/>
        <w:contextualSpacing w:val="0"/>
        <w:rPr>
          <w:sz w:val="24"/>
        </w:rPr>
      </w:pPr>
      <w:r>
        <w:rPr>
          <w:sz w:val="24"/>
        </w:rPr>
        <w:t>Include the views of the child or young person</w:t>
      </w:r>
      <w:r w:rsidR="003F1F8D" w:rsidRPr="00554792">
        <w:rPr>
          <w:sz w:val="24"/>
        </w:rPr>
        <w:t>.</w:t>
      </w:r>
      <w:r>
        <w:rPr>
          <w:sz w:val="24"/>
        </w:rPr>
        <w:t xml:space="preserve">  They may be invited to the meeting or their views accessed beforehand.</w:t>
      </w:r>
    </w:p>
    <w:p w:rsidR="00554792" w:rsidRPr="00554792" w:rsidRDefault="00554792" w:rsidP="009725F9">
      <w:pPr>
        <w:pStyle w:val="ListParagraph"/>
        <w:numPr>
          <w:ilvl w:val="0"/>
          <w:numId w:val="6"/>
        </w:numPr>
        <w:spacing w:after="120" w:line="240" w:lineRule="auto"/>
        <w:ind w:left="431" w:hanging="357"/>
        <w:contextualSpacing w:val="0"/>
        <w:rPr>
          <w:sz w:val="24"/>
        </w:rPr>
      </w:pPr>
      <w:r w:rsidRPr="00554792">
        <w:rPr>
          <w:sz w:val="24"/>
        </w:rPr>
        <w:t xml:space="preserve">Be recorded and </w:t>
      </w:r>
      <w:r>
        <w:rPr>
          <w:sz w:val="24"/>
        </w:rPr>
        <w:t>a copy made available to parents/carers.  Appropriate feedback should be given to the child or young person if they did not attend the meeting.</w:t>
      </w:r>
    </w:p>
    <w:p w:rsidR="003F1F8D" w:rsidRDefault="003F1F8D" w:rsidP="003F1F8D">
      <w:pPr>
        <w:rPr>
          <w:sz w:val="18"/>
        </w:rPr>
      </w:pPr>
    </w:p>
    <w:p w:rsidR="00A626F9" w:rsidRPr="00A626F9" w:rsidRDefault="00A30322" w:rsidP="00A626F9">
      <w:pPr>
        <w:ind w:right="0"/>
        <w:rPr>
          <w:sz w:val="24"/>
        </w:rPr>
      </w:pPr>
      <w:r>
        <w:rPr>
          <w:sz w:val="24"/>
        </w:rPr>
        <w:t xml:space="preserve">Where a My Support Plan is in place, there is no expectation that the whole document be re-written at every review.  The intention is that progress towards outcomes is reviewed and that this </w:t>
      </w:r>
      <w:r w:rsidR="00437886">
        <w:rPr>
          <w:sz w:val="24"/>
        </w:rPr>
        <w:t xml:space="preserve">is </w:t>
      </w:r>
      <w:r>
        <w:rPr>
          <w:sz w:val="24"/>
        </w:rPr>
        <w:t xml:space="preserve">recorded in the review section.  </w:t>
      </w:r>
      <w:r w:rsidR="00A626F9" w:rsidRPr="00A626F9">
        <w:rPr>
          <w:sz w:val="24"/>
        </w:rPr>
        <w:t xml:space="preserve">The Review </w:t>
      </w:r>
      <w:r w:rsidR="0067581E">
        <w:rPr>
          <w:sz w:val="24"/>
        </w:rPr>
        <w:t>decision t</w:t>
      </w:r>
      <w:r w:rsidR="00A626F9" w:rsidRPr="00A626F9">
        <w:rPr>
          <w:sz w:val="24"/>
        </w:rPr>
        <w:t xml:space="preserve">ree overleaf </w:t>
      </w:r>
      <w:r w:rsidR="00A626F9">
        <w:rPr>
          <w:sz w:val="24"/>
        </w:rPr>
        <w:t>suggests</w:t>
      </w:r>
      <w:r w:rsidR="00A626F9" w:rsidRPr="00A626F9">
        <w:rPr>
          <w:sz w:val="24"/>
        </w:rPr>
        <w:t xml:space="preserve"> questions and actions that might be addressed at the review.</w:t>
      </w:r>
      <w:r w:rsidR="009E4B59">
        <w:rPr>
          <w:sz w:val="24"/>
        </w:rPr>
        <w:t xml:space="preserve">  </w:t>
      </w:r>
    </w:p>
    <w:p w:rsidR="009E4B59" w:rsidRDefault="009E4B59" w:rsidP="009E4B59">
      <w:pPr>
        <w:ind w:right="141"/>
        <w:rPr>
          <w:sz w:val="22"/>
          <w:szCs w:val="22"/>
        </w:rPr>
      </w:pPr>
    </w:p>
    <w:tbl>
      <w:tblPr>
        <w:tblStyle w:val="TableGrid"/>
        <w:tblW w:w="0" w:type="auto"/>
        <w:tblInd w:w="-176" w:type="dxa"/>
        <w:tblLook w:val="04A0"/>
      </w:tblPr>
      <w:tblGrid>
        <w:gridCol w:w="9747"/>
      </w:tblGrid>
      <w:tr w:rsidR="009E4B59" w:rsidTr="00133BCB">
        <w:tc>
          <w:tcPr>
            <w:tcW w:w="9747" w:type="dxa"/>
            <w:shd w:val="clear" w:color="auto" w:fill="1F497D" w:themeFill="text2"/>
          </w:tcPr>
          <w:p w:rsidR="009E4B59" w:rsidRPr="00072688" w:rsidRDefault="00323D15" w:rsidP="00133BCB">
            <w:pPr>
              <w:pStyle w:val="tab"/>
              <w:rPr>
                <w:b/>
              </w:rPr>
            </w:pPr>
            <w:r>
              <w:rPr>
                <w:b/>
              </w:rPr>
              <w:t>Child</w:t>
            </w:r>
            <w:r w:rsidR="00133BCB" w:rsidRPr="00133BCB">
              <w:rPr>
                <w:b/>
              </w:rPr>
              <w:t xml:space="preserve"> profile</w:t>
            </w:r>
            <w:r w:rsidR="009E4B59" w:rsidRPr="00072688">
              <w:rPr>
                <w:b/>
              </w:rPr>
              <w:t xml:space="preserve">: </w:t>
            </w:r>
            <w:r w:rsidR="0067581E">
              <w:rPr>
                <w:b/>
              </w:rPr>
              <w:t>Review</w:t>
            </w:r>
          </w:p>
          <w:p w:rsidR="009E4B59" w:rsidRDefault="009E4B59" w:rsidP="00133BCB">
            <w:pPr>
              <w:pStyle w:val="tab"/>
            </w:pPr>
          </w:p>
          <w:p w:rsidR="009E4B59" w:rsidRDefault="009E4B59" w:rsidP="00133BCB">
            <w:pPr>
              <w:pStyle w:val="tab"/>
              <w:ind w:right="-1"/>
              <w:rPr>
                <w:sz w:val="28"/>
              </w:rPr>
            </w:pPr>
            <w:r>
              <w:rPr>
                <w:sz w:val="28"/>
              </w:rPr>
              <w:t xml:space="preserve">Provides a checklist and prompts to ensure essential actions are carried out and key individuals have been involved when </w:t>
            </w:r>
            <w:r w:rsidR="0067581E">
              <w:rPr>
                <w:sz w:val="28"/>
              </w:rPr>
              <w:t>reviewing</w:t>
            </w:r>
            <w:r>
              <w:rPr>
                <w:sz w:val="28"/>
              </w:rPr>
              <w:t xml:space="preserve"> provision.</w:t>
            </w:r>
          </w:p>
          <w:p w:rsidR="0067581E" w:rsidRDefault="0067581E" w:rsidP="00133BCB">
            <w:pPr>
              <w:pStyle w:val="tab"/>
              <w:ind w:right="-1"/>
              <w:rPr>
                <w:sz w:val="28"/>
              </w:rPr>
            </w:pPr>
          </w:p>
          <w:p w:rsidR="0067581E" w:rsidRDefault="0067581E" w:rsidP="00133BCB">
            <w:pPr>
              <w:pStyle w:val="tab"/>
              <w:ind w:right="-1"/>
              <w:rPr>
                <w:sz w:val="28"/>
              </w:rPr>
            </w:pPr>
            <w:r>
              <w:rPr>
                <w:sz w:val="28"/>
              </w:rPr>
              <w:t>Contains a c</w:t>
            </w:r>
            <w:r w:rsidR="005D3F05">
              <w:rPr>
                <w:sz w:val="28"/>
              </w:rPr>
              <w:t>opy of the Review decision tree to guide the review meeting.</w:t>
            </w:r>
          </w:p>
          <w:p w:rsidR="009E4B59" w:rsidRDefault="009E4B59" w:rsidP="00133BCB">
            <w:pPr>
              <w:pStyle w:val="tab"/>
              <w:ind w:right="-1"/>
            </w:pPr>
          </w:p>
        </w:tc>
      </w:tr>
    </w:tbl>
    <w:p w:rsidR="009E4B59" w:rsidRDefault="009E4B59" w:rsidP="009E4B59">
      <w:pPr>
        <w:ind w:right="141"/>
        <w:rPr>
          <w:sz w:val="24"/>
          <w:szCs w:val="22"/>
        </w:rPr>
      </w:pPr>
    </w:p>
    <w:p w:rsidR="00A626F9" w:rsidRDefault="00A626F9" w:rsidP="00A626F9">
      <w:pPr>
        <w:ind w:right="0"/>
        <w:rPr>
          <w:sz w:val="24"/>
        </w:rPr>
      </w:pPr>
    </w:p>
    <w:p w:rsidR="00FF3645" w:rsidRDefault="00FF3645">
      <w:pPr>
        <w:spacing w:after="200" w:line="276" w:lineRule="auto"/>
        <w:ind w:left="0" w:right="0"/>
        <w:rPr>
          <w:sz w:val="28"/>
          <w:szCs w:val="24"/>
        </w:rPr>
      </w:pPr>
      <w:r>
        <w:rPr>
          <w:sz w:val="28"/>
          <w:szCs w:val="24"/>
        </w:rPr>
        <w:br w:type="page"/>
      </w:r>
    </w:p>
    <w:p w:rsidR="00F92882" w:rsidRDefault="00231954">
      <w:pPr>
        <w:spacing w:after="200" w:line="276" w:lineRule="auto"/>
        <w:ind w:left="0" w:right="0"/>
        <w:rPr>
          <w:sz w:val="28"/>
          <w:szCs w:val="24"/>
        </w:rPr>
        <w:sectPr w:rsidR="00F92882" w:rsidSect="006F7525">
          <w:headerReference w:type="default" r:id="rId25"/>
          <w:pgSz w:w="11906" w:h="16838"/>
          <w:pgMar w:top="1440" w:right="1274" w:bottom="1440" w:left="993" w:header="708" w:footer="422" w:gutter="0"/>
          <w:cols w:space="708"/>
          <w:docGrid w:linePitch="360"/>
        </w:sectPr>
      </w:pPr>
      <w:r>
        <w:rPr>
          <w:noProof/>
          <w:sz w:val="28"/>
          <w:szCs w:val="24"/>
        </w:rPr>
        <w:lastRenderedPageBreak/>
        <w:pict>
          <v:shapetype id="_x0000_t109" coordsize="21600,21600" o:spt="109" path="m,l,21600r21600,l21600,xe">
            <v:stroke joinstyle="miter"/>
            <v:path gradientshapeok="t" o:connecttype="rect"/>
          </v:shapetype>
          <v:shape id="_x0000_s1035" type="#_x0000_t109" style="position:absolute;margin-left:291.3pt;margin-top:135.6pt;width:106.75pt;height:59.6pt;z-index:251706368;v-text-anchor:middle" o:regroupid="3" fillcolor="#8db3e2 [1311]" strokeweight="3pt">
            <v:textbox style="mso-next-textbox:#_x0000_s1035">
              <w:txbxContent>
                <w:p w:rsidR="001C75F9" w:rsidRPr="004238EA" w:rsidRDefault="001C75F9" w:rsidP="00FF3645">
                  <w:pPr>
                    <w:ind w:left="0" w:right="-188"/>
                    <w:rPr>
                      <w:sz w:val="24"/>
                    </w:rPr>
                  </w:pPr>
                  <w:r w:rsidRPr="004238EA">
                    <w:rPr>
                      <w:sz w:val="24"/>
                    </w:rPr>
                    <w:t xml:space="preserve">Return to </w:t>
                  </w:r>
                  <w:r w:rsidRPr="00FF3645">
                    <w:rPr>
                      <w:sz w:val="24"/>
                    </w:rPr>
                    <w:t>Assess</w:t>
                  </w:r>
                  <w:r>
                    <w:rPr>
                      <w:sz w:val="24"/>
                    </w:rPr>
                    <w:t xml:space="preserve"> and set new outcomes.</w:t>
                  </w:r>
                </w:p>
              </w:txbxContent>
            </v:textbox>
          </v:shape>
        </w:pict>
      </w:r>
      <w:r>
        <w:rPr>
          <w:noProof/>
          <w:sz w:val="28"/>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17.4pt;margin-top:108.15pt;width:84.15pt;height:70.65pt;z-index:251699200;v-text-anchor:middle" o:regroupid="3" strokecolor="#17365d [2415]" strokeweight="3pt">
            <v:textbox style="mso-next-textbox:#_x0000_s1028">
              <w:txbxContent>
                <w:p w:rsidR="001C75F9" w:rsidRPr="00E304A8" w:rsidRDefault="001C75F9" w:rsidP="00FF3645">
                  <w:pPr>
                    <w:ind w:left="0" w:right="-210"/>
                    <w:rPr>
                      <w:sz w:val="24"/>
                      <w:szCs w:val="24"/>
                    </w:rPr>
                  </w:pPr>
                  <w:r w:rsidRPr="00E304A8">
                    <w:rPr>
                      <w:sz w:val="24"/>
                      <w:szCs w:val="24"/>
                    </w:rPr>
                    <w:t>Have the outcomes been achieved</w:t>
                  </w:r>
                  <w:r>
                    <w:rPr>
                      <w:sz w:val="24"/>
                      <w:szCs w:val="24"/>
                    </w:rPr>
                    <w:t>?</w:t>
                  </w:r>
                </w:p>
              </w:txbxContent>
            </v:textbox>
          </v:shape>
        </w:pict>
      </w:r>
      <w:r>
        <w:rPr>
          <w:noProof/>
          <w:sz w:val="28"/>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55" type="#_x0000_t80" style="position:absolute;margin-left:32.85pt;margin-top:568.7pt;width:33.9pt;height:47.55pt;z-index:251726848;v-text-anchor:middle" o:regroupid="3" adj=",0,14400,0" filled="f" fillcolor="#92d050" strokecolor="#92d050" strokeweight="3pt">
            <v:textbox style="mso-next-textbox:#_x0000_s1055">
              <w:txbxContent>
                <w:p w:rsidR="001C75F9" w:rsidRDefault="001C75F9" w:rsidP="00FF3645">
                  <w:pPr>
                    <w:ind w:left="-113" w:right="-122"/>
                    <w:jc w:val="center"/>
                  </w:pPr>
                  <w:r>
                    <w:t>Yes</w:t>
                  </w:r>
                </w:p>
              </w:txbxContent>
            </v:textbox>
          </v:shape>
        </w:pict>
      </w:r>
      <w:r>
        <w:rPr>
          <w:noProof/>
          <w:sz w:val="28"/>
          <w:szCs w:val="24"/>
        </w:rPr>
        <w:pict>
          <v:roundrect id="_x0000_s1058" style="position:absolute;margin-left:157.15pt;margin-top:587.6pt;width:175.15pt;height:107.25pt;z-index:251729920;v-text-anchor:middle" arcsize="10923f" o:regroupid="3" fillcolor="#17365d [2415]">
            <v:textbox style="mso-next-textbox:#_x0000_s1058">
              <w:txbxContent>
                <w:p w:rsidR="001C75F9" w:rsidRPr="00F219EF" w:rsidRDefault="001C75F9" w:rsidP="00FF3645">
                  <w:pPr>
                    <w:ind w:right="-385"/>
                    <w:jc w:val="center"/>
                    <w:rPr>
                      <w:b/>
                      <w:color w:val="FFFFFF" w:themeColor="background1"/>
                      <w:sz w:val="40"/>
                    </w:rPr>
                  </w:pPr>
                  <w:r w:rsidRPr="00F219EF">
                    <w:rPr>
                      <w:b/>
                      <w:color w:val="FFFFFF" w:themeColor="background1"/>
                      <w:sz w:val="40"/>
                    </w:rPr>
                    <w:t>Review</w:t>
                  </w:r>
                </w:p>
                <w:p w:rsidR="001C75F9" w:rsidRPr="00F219EF" w:rsidRDefault="001C75F9" w:rsidP="00FF3645">
                  <w:pPr>
                    <w:ind w:right="-244"/>
                    <w:jc w:val="center"/>
                    <w:rPr>
                      <w:b/>
                      <w:color w:val="FFFFFF" w:themeColor="background1"/>
                      <w:sz w:val="40"/>
                    </w:rPr>
                  </w:pPr>
                  <w:r w:rsidRPr="00F219EF">
                    <w:rPr>
                      <w:b/>
                      <w:color w:val="FFFFFF" w:themeColor="background1"/>
                      <w:sz w:val="40"/>
                    </w:rPr>
                    <w:t xml:space="preserve"> Decision Tree</w:t>
                  </w:r>
                </w:p>
              </w:txbxContent>
            </v:textbox>
          </v:roundrect>
        </w:pict>
      </w:r>
      <w:r>
        <w:rPr>
          <w:noProof/>
          <w:sz w:val="28"/>
          <w:szCs w:val="24"/>
        </w:rPr>
        <w:pict>
          <v:shape id="_x0000_s1057" type="#_x0000_t109" style="position:absolute;margin-left:-6.7pt;margin-top:621.5pt;width:124.3pt;height:71.5pt;z-index:251728896;v-text-anchor:middle" o:regroupid="3" fillcolor="#8db3e2 [1311]" strokeweight="3pt">
            <v:textbox style="mso-next-textbox:#_x0000_s1057">
              <w:txbxContent>
                <w:p w:rsidR="001C75F9" w:rsidRPr="004238EA" w:rsidRDefault="001C75F9" w:rsidP="00FF3645">
                  <w:pPr>
                    <w:ind w:left="0" w:right="-82"/>
                    <w:rPr>
                      <w:sz w:val="24"/>
                    </w:rPr>
                  </w:pPr>
                  <w:r>
                    <w:rPr>
                      <w:sz w:val="24"/>
                    </w:rPr>
                    <w:t xml:space="preserve">In consultation with </w:t>
                  </w:r>
                  <w:r w:rsidRPr="00714E76">
                    <w:rPr>
                      <w:sz w:val="24"/>
                    </w:rPr>
                    <w:t>parents/carers</w:t>
                  </w:r>
                  <w:r>
                    <w:rPr>
                      <w:sz w:val="24"/>
                    </w:rPr>
                    <w:t>, and pupil if appropriate, request an EHC plan.</w:t>
                  </w:r>
                </w:p>
              </w:txbxContent>
            </v:textbox>
          </v:shape>
        </w:pict>
      </w:r>
      <w:r>
        <w:rPr>
          <w:noProof/>
          <w:sz w:val="28"/>
          <w:szCs w:val="24"/>
        </w:rPr>
        <w:pict>
          <v:shape id="_x0000_s1056" type="#_x0000_t80" style="position:absolute;margin-left:142.1pt;margin-top:484pt;width:35.75pt;height:50.85pt;rotation:270;z-index:251727872;v-text-anchor:middle" o:regroupid="3" adj=",0,14400,0" filled="f" fillcolor="#f79646 [3209]" strokecolor="#f79646 [3209]" strokeweight="3pt">
            <v:textbox style="mso-next-textbox:#_x0000_s1056">
              <w:txbxContent>
                <w:p w:rsidR="001C75F9" w:rsidRDefault="001C75F9" w:rsidP="00FF3645">
                  <w:pPr>
                    <w:spacing w:after="40"/>
                    <w:ind w:left="-113" w:right="-28"/>
                    <w:jc w:val="center"/>
                  </w:pPr>
                  <w:r>
                    <w:t>No</w:t>
                  </w:r>
                </w:p>
              </w:txbxContent>
            </v:textbox>
          </v:shape>
        </w:pict>
      </w:r>
      <w:r>
        <w:rPr>
          <w:noProof/>
          <w:sz w:val="28"/>
          <w:szCs w:val="24"/>
        </w:rPr>
        <w:pict>
          <v:shape id="_x0000_s1054" type="#_x0000_t176" style="position:absolute;margin-left:-17.4pt;margin-top:372pt;width:140.65pt;height:191.6pt;z-index:251725824;v-text-anchor:middle" o:regroupid="3" strokeweight="3pt">
            <v:textbox style="mso-next-textbox:#_x0000_s1054">
              <w:txbxContent>
                <w:p w:rsidR="001C75F9" w:rsidRDefault="001C75F9" w:rsidP="00FF3645">
                  <w:pPr>
                    <w:ind w:left="0" w:right="-82"/>
                    <w:rPr>
                      <w:sz w:val="24"/>
                    </w:rPr>
                  </w:pPr>
                  <w:r>
                    <w:rPr>
                      <w:sz w:val="24"/>
                    </w:rPr>
                    <w:t>Does the child or young person have needs which cannot be met within delegated provision?</w:t>
                  </w:r>
                </w:p>
                <w:p w:rsidR="001C75F9" w:rsidRDefault="001C75F9" w:rsidP="00FF3645">
                  <w:pPr>
                    <w:ind w:left="0" w:right="-82"/>
                    <w:rPr>
                      <w:sz w:val="24"/>
                    </w:rPr>
                  </w:pPr>
                </w:p>
                <w:p w:rsidR="001C75F9" w:rsidRPr="004238EA" w:rsidRDefault="001C75F9" w:rsidP="00FF3645">
                  <w:pPr>
                    <w:ind w:left="0" w:right="-82"/>
                    <w:rPr>
                      <w:sz w:val="24"/>
                    </w:rPr>
                  </w:pPr>
                  <w:r>
                    <w:rPr>
                      <w:sz w:val="24"/>
                    </w:rPr>
                    <w:t>Does the child or young person meet the Local Authority’s criteria for requesting an EHC needs assessment?</w:t>
                  </w:r>
                </w:p>
                <w:p w:rsidR="001C75F9" w:rsidRDefault="001C75F9" w:rsidP="00FF3645">
                  <w:pPr>
                    <w:ind w:left="0"/>
                  </w:pPr>
                </w:p>
              </w:txbxContent>
            </v:textbox>
          </v:shape>
        </w:pict>
      </w:r>
      <w:r>
        <w:rPr>
          <w:noProof/>
          <w:sz w:val="28"/>
          <w:szCs w:val="24"/>
        </w:rPr>
        <w:pict>
          <v:shape id="_x0000_s1053" type="#_x0000_t109" style="position:absolute;margin-left:191.05pt;margin-top:474.6pt;width:90.4pt;height:83.4pt;z-index:251724800;v-text-anchor:middle" o:regroupid="3" fillcolor="#8db3e2 [1311]" strokeweight="3pt">
            <v:textbox style="mso-next-textbox:#_x0000_s1053">
              <w:txbxContent>
                <w:p w:rsidR="001C75F9" w:rsidRPr="004238EA" w:rsidRDefault="001C75F9" w:rsidP="00FF3645">
                  <w:pPr>
                    <w:ind w:left="0" w:right="-82"/>
                    <w:rPr>
                      <w:sz w:val="24"/>
                    </w:rPr>
                  </w:pPr>
                  <w:r>
                    <w:rPr>
                      <w:sz w:val="24"/>
                    </w:rPr>
                    <w:t xml:space="preserve">Return to </w:t>
                  </w:r>
                  <w:r w:rsidRPr="00FF3645">
                    <w:rPr>
                      <w:sz w:val="24"/>
                    </w:rPr>
                    <w:t>Plan</w:t>
                  </w:r>
                  <w:r>
                    <w:rPr>
                      <w:sz w:val="24"/>
                    </w:rPr>
                    <w:t xml:space="preserve"> and explore other types of provision</w:t>
                  </w:r>
                </w:p>
              </w:txbxContent>
            </v:textbox>
          </v:shape>
        </w:pict>
      </w:r>
      <w:r>
        <w:rPr>
          <w:noProof/>
          <w:sz w:val="28"/>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2" type="#_x0000_t67" style="position:absolute;margin-left:230.3pt;margin-top:423.7pt;width:33.9pt;height:35.2pt;rotation:-1385360fd;flip:x;z-index:251723776;v-text-anchor:middle" o:regroupid="3" fillcolor="#8064a2 [3207]"/>
        </w:pict>
      </w:r>
      <w:r>
        <w:rPr>
          <w:noProof/>
          <w:sz w:val="28"/>
          <w:szCs w:val="24"/>
        </w:rPr>
        <w:pict>
          <v:shape id="_x0000_s1051" type="#_x0000_t109" style="position:absolute;margin-left:366.2pt;margin-top:587.6pt;width:90.4pt;height:107.25pt;z-index:251722752;v-text-anchor:middle" o:regroupid="3" fillcolor="#8db3e2 [1311]" strokeweight="3pt">
            <v:textbox style="mso-next-textbox:#_x0000_s1051">
              <w:txbxContent>
                <w:p w:rsidR="001C75F9" w:rsidRPr="004238EA" w:rsidRDefault="001C75F9" w:rsidP="00FF3645">
                  <w:pPr>
                    <w:ind w:left="0" w:right="-82"/>
                    <w:rPr>
                      <w:sz w:val="24"/>
                    </w:rPr>
                  </w:pPr>
                  <w:r>
                    <w:rPr>
                      <w:sz w:val="24"/>
                    </w:rPr>
                    <w:t xml:space="preserve">Return to </w:t>
                  </w:r>
                  <w:r w:rsidRPr="00FF3645">
                    <w:rPr>
                      <w:sz w:val="24"/>
                    </w:rPr>
                    <w:t>Assess</w:t>
                  </w:r>
                  <w:r>
                    <w:rPr>
                      <w:sz w:val="24"/>
                    </w:rPr>
                    <w:t xml:space="preserve"> to carry out further diagnostic assessment.</w:t>
                  </w:r>
                </w:p>
              </w:txbxContent>
            </v:textbox>
          </v:shape>
        </w:pict>
      </w:r>
      <w:r>
        <w:rPr>
          <w:noProof/>
          <w:sz w:val="28"/>
          <w:szCs w:val="24"/>
        </w:rPr>
        <w:pict>
          <v:shape id="_x0000_s1050" type="#_x0000_t67" style="position:absolute;margin-left:349.1pt;margin-top:412.4pt;width:33.9pt;height:18.8pt;rotation:-1385360fd;flip:x;z-index:251721728;v-text-anchor:middle" o:regroupid="3" fillcolor="#8064a2 [3207]"/>
        </w:pict>
      </w:r>
      <w:r>
        <w:rPr>
          <w:noProof/>
          <w:sz w:val="28"/>
          <w:szCs w:val="24"/>
        </w:rPr>
        <w:pict>
          <v:shape id="_x0000_s1049" type="#_x0000_t67" style="position:absolute;margin-left:304.25pt;margin-top:412.4pt;width:33.9pt;height:19.35pt;rotation:-1385360fd;z-index:251720704;v-text-anchor:middle" o:regroupid="3" fillcolor="#8064a2 [3207]"/>
        </w:pict>
      </w:r>
      <w:r>
        <w:rPr>
          <w:noProof/>
          <w:sz w:val="28"/>
          <w:szCs w:val="24"/>
        </w:rPr>
        <w:pict>
          <v:shape id="_x0000_s1048" type="#_x0000_t67" style="position:absolute;margin-left:422.7pt;margin-top:423.75pt;width:33.9pt;height:160.9pt;z-index:251719680;v-text-anchor:middle" o:regroupid="3" fillcolor="#8064a2 [3207]"/>
        </w:pict>
      </w:r>
      <w:r>
        <w:rPr>
          <w:noProof/>
          <w:sz w:val="28"/>
          <w:szCs w:val="24"/>
        </w:rPr>
        <w:pict>
          <v:shapetype id="_x0000_t110" coordsize="21600,21600" o:spt="110" path="m10800,l,10800,10800,21600,21600,10800xe">
            <v:stroke joinstyle="miter"/>
            <v:path gradientshapeok="t" o:connecttype="rect" textboxrect="5400,5400,16200,16200"/>
          </v:shapetype>
          <v:shape id="_x0000_s1047" type="#_x0000_t110" style="position:absolute;margin-left:354.9pt;margin-top:378.55pt;width:101.7pt;height:47.65pt;z-index:251718656;v-text-anchor:middle" o:regroupid="3" fillcolor="#e5b8b7 [1301]" strokecolor="#17365d [2415]" strokeweight="3pt">
            <v:textbox style="mso-next-textbox:#_x0000_s1047">
              <w:txbxContent>
                <w:p w:rsidR="001C75F9" w:rsidRPr="007925B9" w:rsidRDefault="001C75F9" w:rsidP="00FF3645">
                  <w:pPr>
                    <w:ind w:left="-565" w:right="-606"/>
                    <w:jc w:val="center"/>
                    <w:rPr>
                      <w:sz w:val="24"/>
                    </w:rPr>
                  </w:pPr>
                  <w:r w:rsidRPr="007925B9">
                    <w:rPr>
                      <w:sz w:val="24"/>
                    </w:rPr>
                    <w:t>Consider</w:t>
                  </w:r>
                </w:p>
              </w:txbxContent>
            </v:textbox>
          </v:shape>
        </w:pict>
      </w:r>
      <w:r>
        <w:rPr>
          <w:noProof/>
          <w:sz w:val="28"/>
          <w:szCs w:val="24"/>
        </w:rPr>
        <w:pict>
          <v:shape id="_x0000_s1046" type="#_x0000_t110" style="position:absolute;margin-left:230.6pt;margin-top:378.55pt;width:101.7pt;height:47.65pt;z-index:251717632;v-text-anchor:middle" o:regroupid="3" fillcolor="#e5b8b7 [1301]" strokecolor="#17365d [2415]" strokeweight="3pt">
            <v:textbox style="mso-next-textbox:#_x0000_s1046">
              <w:txbxContent>
                <w:p w:rsidR="001C75F9" w:rsidRPr="007925B9" w:rsidRDefault="001C75F9" w:rsidP="00FF3645">
                  <w:pPr>
                    <w:ind w:left="-565" w:right="-606"/>
                    <w:jc w:val="center"/>
                    <w:rPr>
                      <w:sz w:val="24"/>
                    </w:rPr>
                  </w:pPr>
                  <w:r w:rsidRPr="007925B9">
                    <w:rPr>
                      <w:sz w:val="24"/>
                    </w:rPr>
                    <w:t>Consider</w:t>
                  </w:r>
                </w:p>
              </w:txbxContent>
            </v:textbox>
          </v:shape>
        </w:pict>
      </w:r>
      <w:r>
        <w:rPr>
          <w:noProof/>
          <w:sz w:val="28"/>
          <w:szCs w:val="24"/>
        </w:rPr>
        <w:pict>
          <v:shape id="_x0000_s1045" type="#_x0000_t109" style="position:absolute;margin-left:298.4pt;margin-top:440.7pt;width:90.4pt;height:119.15pt;z-index:251716608;v-text-anchor:middle" o:regroupid="3" fillcolor="#8db3e2 [1311]" strokeweight="3pt">
            <v:textbox style="mso-next-textbox:#_x0000_s1045">
              <w:txbxContent>
                <w:p w:rsidR="001C75F9" w:rsidRPr="004238EA" w:rsidRDefault="001C75F9" w:rsidP="00FF3645">
                  <w:pPr>
                    <w:ind w:left="0" w:right="-82"/>
                    <w:rPr>
                      <w:sz w:val="24"/>
                    </w:rPr>
                  </w:pPr>
                  <w:r>
                    <w:rPr>
                      <w:sz w:val="24"/>
                    </w:rPr>
                    <w:t xml:space="preserve">Seek advice on needs and/or provision from </w:t>
                  </w:r>
                  <w:r w:rsidRPr="00FF3645">
                    <w:rPr>
                      <w:sz w:val="24"/>
                    </w:rPr>
                    <w:t>internal or external specialists</w:t>
                  </w:r>
                  <w:r>
                    <w:rPr>
                      <w:sz w:val="24"/>
                    </w:rPr>
                    <w:t>.</w:t>
                  </w:r>
                </w:p>
              </w:txbxContent>
            </v:textbox>
          </v:shape>
        </w:pict>
      </w:r>
      <w:r>
        <w:rPr>
          <w:noProof/>
          <w:sz w:val="28"/>
          <w:szCs w:val="24"/>
        </w:rPr>
        <w:pict>
          <v:shape id="_x0000_s1044" type="#_x0000_t67" style="position:absolute;margin-left:159.05pt;margin-top:359.7pt;width:35.75pt;height:84.75pt;rotation:90;z-index:251715584;v-text-anchor:middle" o:regroupid="3" fillcolor="#8064a2 [3207]"/>
        </w:pict>
      </w:r>
      <w:r>
        <w:rPr>
          <w:noProof/>
          <w:sz w:val="28"/>
          <w:szCs w:val="24"/>
        </w:rPr>
        <w:pict>
          <v:shape id="_x0000_s1043" type="#_x0000_t80" style="position:absolute;margin-left:388.8pt;margin-top:288.15pt;width:33.9pt;height:83.4pt;z-index:251714560;v-text-anchor:middle" o:regroupid="3" adj=",0,14400,0" filled="f" fillcolor="#f79646 [3209]" strokecolor="#f79646 [3209]" strokeweight="3pt">
            <v:textbox style="mso-next-textbox:#_x0000_s1043">
              <w:txbxContent>
                <w:p w:rsidR="001C75F9" w:rsidRDefault="001C75F9" w:rsidP="00FF3645">
                  <w:pPr>
                    <w:ind w:left="-255" w:right="-235"/>
                    <w:jc w:val="center"/>
                  </w:pPr>
                  <w:r>
                    <w:t>No</w:t>
                  </w:r>
                </w:p>
              </w:txbxContent>
            </v:textbox>
          </v:shape>
        </w:pict>
      </w:r>
      <w:r>
        <w:rPr>
          <w:noProof/>
          <w:sz w:val="28"/>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2" type="#_x0000_t90" style="position:absolute;margin-left:264.35pt;margin-top:237.3pt;width:54.9pt;height:137.05pt;flip:x y;z-index:251713536;v-text-anchor:middle" o:regroupid="3" adj=",18736,7400" filled="f" fillcolor="#92d050" strokecolor="#92d050" strokeweight="3pt">
            <v:textbox style="mso-next-textbox:#_x0000_s1042">
              <w:txbxContent>
                <w:p w:rsidR="001C75F9" w:rsidRDefault="001C75F9" w:rsidP="00FF3645">
                  <w:pPr>
                    <w:ind w:left="0" w:right="-49"/>
                    <w:jc w:val="center"/>
                  </w:pPr>
                  <w:r>
                    <w:t>Yes</w:t>
                  </w:r>
                </w:p>
                <w:p w:rsidR="001C75F9" w:rsidRDefault="001C75F9"/>
              </w:txbxContent>
            </v:textbox>
          </v:shape>
        </w:pict>
      </w:r>
      <w:r>
        <w:rPr>
          <w:noProof/>
          <w:sz w:val="28"/>
          <w:szCs w:val="24"/>
        </w:rPr>
        <w:pict>
          <v:shape id="_x0000_s1041" type="#_x0000_t176" style="position:absolute;margin-left:332.3pt;margin-top:224.05pt;width:113pt;height:59.6pt;z-index:251712512;v-text-anchor:middle" o:regroupid="3" strokeweight="3pt">
            <v:textbox style="mso-next-textbox:#_x0000_s1041">
              <w:txbxContent>
                <w:p w:rsidR="001C75F9" w:rsidRPr="00CE44BF" w:rsidRDefault="001C75F9" w:rsidP="00FF3645">
                  <w:pPr>
                    <w:ind w:left="0" w:right="-266"/>
                    <w:rPr>
                      <w:sz w:val="22"/>
                    </w:rPr>
                  </w:pPr>
                  <w:r>
                    <w:rPr>
                      <w:sz w:val="22"/>
                    </w:rPr>
                    <w:t>Are the needs well enough understood?</w:t>
                  </w:r>
                </w:p>
              </w:txbxContent>
            </v:textbox>
          </v:shape>
        </w:pict>
      </w:r>
      <w:r>
        <w:rPr>
          <w:noProof/>
          <w:sz w:val="28"/>
          <w:szCs w:val="24"/>
        </w:rPr>
        <w:pict>
          <v:shape id="_x0000_s1040" type="#_x0000_t109" style="position:absolute;margin-left:89.35pt;margin-top:265.5pt;width:163.85pt;height:71.5pt;z-index:251711488;v-text-anchor:middle" o:regroupid="3" fillcolor="#8db3e2 [1311]" strokeweight="3pt">
            <v:textbox style="mso-next-textbox:#_x0000_s1040">
              <w:txbxContent>
                <w:p w:rsidR="001C75F9" w:rsidRPr="004238EA" w:rsidRDefault="001C75F9" w:rsidP="00FF3645">
                  <w:pPr>
                    <w:ind w:left="0" w:right="-82"/>
                    <w:rPr>
                      <w:sz w:val="24"/>
                    </w:rPr>
                  </w:pPr>
                  <w:r>
                    <w:rPr>
                      <w:sz w:val="24"/>
                    </w:rPr>
                    <w:t>Return to needs met by universal inclusive provision.  Record that the child is no longer receiving SEN support.</w:t>
                  </w:r>
                </w:p>
              </w:txbxContent>
            </v:textbox>
          </v:shape>
        </w:pict>
      </w:r>
      <w:r>
        <w:rPr>
          <w:noProof/>
          <w:sz w:val="28"/>
          <w:szCs w:val="24"/>
        </w:rPr>
        <w:pict>
          <v:shape id="_x0000_s1039" type="#_x0000_t80" style="position:absolute;margin-left:162.8pt;margin-top:224.05pt;width:33.9pt;height:35pt;z-index:251710464;v-text-anchor:middle" o:regroupid="3" adj=",0,14400,0" filled="f" fillcolor="#f79646 [3209]" strokecolor="#f79646 [3209]" strokeweight="3pt">
            <v:textbox style="mso-next-textbox:#_x0000_s1039">
              <w:txbxContent>
                <w:p w:rsidR="001C75F9" w:rsidRDefault="001C75F9" w:rsidP="00FF3645">
                  <w:pPr>
                    <w:ind w:left="-113" w:right="-122"/>
                    <w:jc w:val="center"/>
                  </w:pPr>
                  <w:r>
                    <w:t>No</w:t>
                  </w:r>
                </w:p>
              </w:txbxContent>
            </v:textbox>
          </v:shape>
        </w:pict>
      </w:r>
      <w:r>
        <w:rPr>
          <w:noProof/>
          <w:sz w:val="28"/>
          <w:szCs w:val="24"/>
        </w:rPr>
        <w:pict>
          <v:shape id="_x0000_s1038" type="#_x0000_t109" style="position:absolute;margin-left:-17.4pt;margin-top:248.55pt;width:89.8pt;height:107.55pt;z-index:251709440;v-text-anchor:middle" o:regroupid="3" fillcolor="#8db3e2 [1311]" strokeweight="3pt">
            <v:textbox style="mso-next-textbox:#_x0000_s1038">
              <w:txbxContent>
                <w:p w:rsidR="001C75F9" w:rsidRPr="004238EA" w:rsidRDefault="001C75F9" w:rsidP="00FF3645">
                  <w:pPr>
                    <w:ind w:left="0" w:right="-82"/>
                    <w:rPr>
                      <w:sz w:val="24"/>
                    </w:rPr>
                  </w:pPr>
                  <w:r w:rsidRPr="004238EA">
                    <w:rPr>
                      <w:sz w:val="24"/>
                    </w:rPr>
                    <w:t xml:space="preserve">Continue with the planned SEN Support </w:t>
                  </w:r>
                  <w:r>
                    <w:rPr>
                      <w:sz w:val="24"/>
                    </w:rPr>
                    <w:t>until the next review.</w:t>
                  </w:r>
                </w:p>
              </w:txbxContent>
            </v:textbox>
          </v:shape>
        </w:pict>
      </w:r>
      <w:r>
        <w:rPr>
          <w:noProof/>
          <w:sz w:val="28"/>
          <w:szCs w:val="24"/>
        </w:rPr>
        <w:pict>
          <v:shape id="_x0000_s1037" type="#_x0000_t80" style="position:absolute;margin-left:10.25pt;margin-top:35.85pt;width:33.9pt;height:65.7pt;z-index:251708416;v-text-anchor:middle" o:regroupid="3" adj=",0,14400,0" filled="f" fillcolor="#92d050" strokecolor="#92d050" strokeweight="3pt">
            <v:textbox style="mso-next-textbox:#_x0000_s1037">
              <w:txbxContent>
                <w:p w:rsidR="001C75F9" w:rsidRDefault="001C75F9" w:rsidP="00FF3645">
                  <w:pPr>
                    <w:ind w:left="-113" w:right="-122"/>
                    <w:jc w:val="center"/>
                  </w:pPr>
                  <w:r>
                    <w:t>Yes</w:t>
                  </w:r>
                </w:p>
              </w:txbxContent>
            </v:textbox>
          </v:shape>
        </w:pict>
      </w:r>
      <w:r>
        <w:rPr>
          <w:noProof/>
          <w:sz w:val="28"/>
          <w:szCs w:val="24"/>
        </w:rPr>
        <w:pict>
          <v:shape id="_x0000_s1036" type="#_x0000_t80" style="position:absolute;margin-left:10.25pt;margin-top:186.45pt;width:33.9pt;height:39.65pt;z-index:251707392;v-text-anchor:middle" o:regroupid="3" adj=",0,14400,0" filled="f" fillcolor="#f79646 [3209]" strokecolor="#f79646 [3209]" strokeweight="3pt">
            <v:textbox style="mso-next-textbox:#_x0000_s1036">
              <w:txbxContent>
                <w:p w:rsidR="001C75F9" w:rsidRDefault="001C75F9" w:rsidP="00FF3645">
                  <w:pPr>
                    <w:ind w:left="-113" w:right="-122"/>
                    <w:jc w:val="center"/>
                  </w:pPr>
                  <w:r>
                    <w:t>No</w:t>
                  </w:r>
                </w:p>
              </w:txbxContent>
            </v:textbox>
          </v:shape>
        </w:pict>
      </w:r>
      <w:r>
        <w:rPr>
          <w:noProof/>
          <w:sz w:val="28"/>
          <w:szCs w:val="24"/>
        </w:rPr>
        <w:pict>
          <v:shape id="_x0000_s1034" type="#_x0000_t80" style="position:absolute;margin-left:257.1pt;margin-top:18.7pt;width:35.75pt;height:66.2pt;rotation:270;z-index:251705344;v-text-anchor:middle" o:regroupid="3" adj=",0,14400,0" filled="f" fillcolor="#f79646 [3209]" strokecolor="#f79646 [3209]" strokeweight="3pt">
            <v:textbox style="mso-next-textbox:#_x0000_s1034">
              <w:txbxContent>
                <w:p w:rsidR="001C75F9" w:rsidRDefault="001C75F9" w:rsidP="00FF3645">
                  <w:pPr>
                    <w:spacing w:after="40"/>
                    <w:ind w:left="-113" w:right="-28"/>
                    <w:jc w:val="center"/>
                  </w:pPr>
                  <w:r>
                    <w:t>No</w:t>
                  </w:r>
                </w:p>
              </w:txbxContent>
            </v:textbox>
          </v:shape>
        </w:pict>
      </w:r>
      <w:r>
        <w:rPr>
          <w:noProof/>
          <w:sz w:val="28"/>
          <w:szCs w:val="24"/>
        </w:rPr>
        <w:pict>
          <v:shape id="_x0000_s1033" type="#_x0000_t80" style="position:absolute;margin-left:326.65pt;margin-top:90.4pt;width:33.9pt;height:35.75pt;z-index:251704320;v-text-anchor:middle" o:regroupid="3" adj=",0,14400,0" filled="f" fillcolor="#f79646 [3209]" strokecolor="#f79646 [3209]" strokeweight="3pt">
            <v:textbox style="mso-next-textbox:#_x0000_s1033">
              <w:txbxContent>
                <w:p w:rsidR="001C75F9" w:rsidRDefault="001C75F9" w:rsidP="00FF3645">
                  <w:pPr>
                    <w:ind w:left="-113" w:right="-122"/>
                    <w:jc w:val="center"/>
                  </w:pPr>
                  <w:r>
                    <w:t>No</w:t>
                  </w:r>
                </w:p>
              </w:txbxContent>
            </v:textbox>
          </v:shape>
        </w:pict>
      </w:r>
      <w:r>
        <w:rPr>
          <w:noProof/>
          <w:sz w:val="28"/>
          <w:szCs w:val="24"/>
        </w:rPr>
        <w:pict>
          <v:shape id="_x0000_s1032" type="#_x0000_t80" style="position:absolute;margin-left:243pt;margin-top:145.8pt;width:35.75pt;height:37.95pt;rotation:270;z-index:251703296;v-text-anchor:middle" o:regroupid="3" adj=",0,14400,0" filled="f" fillcolor="#92d050" strokecolor="#92d050" strokeweight="3pt">
            <v:textbox style="mso-next-textbox:#_x0000_s1032">
              <w:txbxContent>
                <w:p w:rsidR="001C75F9" w:rsidRDefault="001C75F9" w:rsidP="00EE542D">
                  <w:pPr>
                    <w:spacing w:after="40"/>
                    <w:ind w:left="0" w:right="-191"/>
                    <w:jc w:val="center"/>
                  </w:pPr>
                  <w:r>
                    <w:t>Yes</w:t>
                  </w:r>
                </w:p>
              </w:txbxContent>
            </v:textbox>
          </v:shape>
        </w:pict>
      </w:r>
      <w:r>
        <w:rPr>
          <w:noProof/>
          <w:sz w:val="28"/>
          <w:szCs w:val="24"/>
        </w:rPr>
        <w:pict>
          <v:shape id="_x0000_s1031" type="#_x0000_t176" style="position:absolute;margin-left:326.65pt;margin-top:22.6pt;width:118.65pt;height:59.6pt;z-index:251702272;v-text-anchor:middle" o:regroupid="3" strokecolor="#17365d [2415]" strokeweight="3pt">
            <v:textbox style="mso-next-textbox:#_x0000_s1031">
              <w:txbxContent>
                <w:p w:rsidR="001C75F9" w:rsidRPr="00CE44BF" w:rsidRDefault="001C75F9" w:rsidP="00FF3645">
                  <w:pPr>
                    <w:ind w:left="0" w:right="-266"/>
                    <w:rPr>
                      <w:sz w:val="22"/>
                    </w:rPr>
                  </w:pPr>
                  <w:r>
                    <w:rPr>
                      <w:sz w:val="22"/>
                    </w:rPr>
                    <w:t>Are the outcomes still appropriate?</w:t>
                  </w:r>
                </w:p>
              </w:txbxContent>
            </v:textbox>
          </v:shape>
        </w:pict>
      </w:r>
      <w:r>
        <w:rPr>
          <w:noProof/>
          <w:sz w:val="28"/>
          <w:szCs w:val="24"/>
        </w:rPr>
        <w:pict>
          <v:shapetype id="_x0000_t117" coordsize="21600,21600" o:spt="117" path="m4353,l17214,r4386,10800l17214,21600r-12861,l,10800xe">
            <v:stroke joinstyle="miter"/>
            <v:path gradientshapeok="t" o:connecttype="rect" textboxrect="4353,0,17214,21600"/>
          </v:shapetype>
          <v:shape id="_x0000_s1030" type="#_x0000_t117" style="position:absolute;margin-left:123.25pt;margin-top:113pt;width:113pt;height:107.25pt;z-index:251701248;v-text-anchor:middle" o:regroupid="3" strokeweight="3pt">
            <v:textbox style="mso-next-textbox:#_x0000_s1030">
              <w:txbxContent>
                <w:p w:rsidR="001C75F9" w:rsidRPr="00CE44BF" w:rsidRDefault="001C75F9" w:rsidP="00FF3645">
                  <w:pPr>
                    <w:ind w:left="0" w:right="-186"/>
                    <w:rPr>
                      <w:sz w:val="24"/>
                    </w:rPr>
                  </w:pPr>
                  <w:r w:rsidRPr="00CE44BF">
                    <w:rPr>
                      <w:sz w:val="24"/>
                    </w:rPr>
                    <w:t>Does the pupil still have a Special Educational need?</w:t>
                  </w:r>
                </w:p>
              </w:txbxContent>
            </v:textbox>
          </v:shape>
        </w:pict>
      </w:r>
      <w:r>
        <w:rPr>
          <w:noProof/>
          <w:sz w:val="28"/>
          <w:szCs w:val="24"/>
        </w:rPr>
        <w:pict>
          <v:shape id="_x0000_s1029" type="#_x0000_t80" style="position:absolute;margin-left:85.6pt;margin-top:120.45pt;width:35.75pt;height:39.55pt;rotation:270;z-index:251700224;v-text-anchor:middle" o:regroupid="3" adj=",0,14400,0" filled="f" fillcolor="#92d050" strokecolor="#92d050" strokeweight="3pt">
            <v:textbox style="mso-next-textbox:#_x0000_s1029">
              <w:txbxContent>
                <w:p w:rsidR="001C75F9" w:rsidRDefault="001C75F9" w:rsidP="00EE542D">
                  <w:pPr>
                    <w:ind w:left="-142" w:right="-180"/>
                    <w:jc w:val="center"/>
                  </w:pPr>
                  <w:r>
                    <w:t>Yes</w:t>
                  </w:r>
                </w:p>
              </w:txbxContent>
            </v:textbox>
          </v:shape>
        </w:pict>
      </w:r>
      <w:r>
        <w:rPr>
          <w:noProof/>
          <w:sz w:val="28"/>
          <w:szCs w:val="24"/>
        </w:rPr>
        <w:pict>
          <v:shape id="_x0000_s1027" type="#_x0000_t117" style="position:absolute;margin-left:66.75pt;margin-top:7.75pt;width:154.8pt;height:95.35pt;z-index:251698176;v-text-anchor:middle" o:regroupid="3" fillcolor="#17365d [2415]" stroked="f" strokecolor="#f2f2f2 [3041]" strokeweight="3pt">
            <v:shadow type="perspective" color="#243f60 [1604]" opacity=".5" offset="1pt" offset2="-1pt"/>
            <v:textbox style="mso-next-textbox:#_x0000_s1027">
              <w:txbxContent>
                <w:p w:rsidR="001C75F9" w:rsidRPr="00F219EF" w:rsidRDefault="001C75F9" w:rsidP="00FF3645">
                  <w:pPr>
                    <w:ind w:left="0" w:right="-155"/>
                    <w:rPr>
                      <w:b/>
                      <w:color w:val="FFFFFF" w:themeColor="background1"/>
                    </w:rPr>
                  </w:pPr>
                  <w:r>
                    <w:rPr>
                      <w:b/>
                      <w:color w:val="FFFFFF" w:themeColor="background1"/>
                      <w:sz w:val="28"/>
                    </w:rPr>
                    <w:t xml:space="preserve">Has the child </w:t>
                  </w:r>
                  <w:r w:rsidRPr="00F219EF">
                    <w:rPr>
                      <w:b/>
                      <w:color w:val="FFFFFF" w:themeColor="background1"/>
                      <w:sz w:val="28"/>
                    </w:rPr>
                    <w:t>made expected progress towards the outcomes?</w:t>
                  </w:r>
                </w:p>
              </w:txbxContent>
            </v:textbox>
          </v:shape>
        </w:pict>
      </w:r>
      <w:r>
        <w:rPr>
          <w:noProof/>
          <w:sz w:val="28"/>
          <w:szCs w:val="24"/>
        </w:rPr>
        <w:pict>
          <v:shape id="_x0000_s1059" type="#_x0000_t67" style="position:absolute;margin-left:406.95pt;margin-top:90.4pt;width:56.5pt;height:118.65pt;z-index:251696128;v-text-anchor:middle" o:regroupid="2" filled="f" fillcolor="#92d050" strokecolor="#92d050" strokeweight="3pt">
            <v:textbox style="mso-next-textbox:#_x0000_s1059">
              <w:txbxContent>
                <w:p w:rsidR="001C75F9" w:rsidRPr="003D6BB2" w:rsidRDefault="001C75F9" w:rsidP="00051480">
                  <w:pPr>
                    <w:ind w:left="-226" w:right="-204"/>
                    <w:jc w:val="center"/>
                    <w:rPr>
                      <w:sz w:val="28"/>
                    </w:rPr>
                  </w:pPr>
                  <w:r w:rsidRPr="003D6BB2">
                    <w:rPr>
                      <w:sz w:val="28"/>
                    </w:rPr>
                    <w:t>Yes</w:t>
                  </w:r>
                </w:p>
                <w:p w:rsidR="001C75F9" w:rsidRDefault="001C75F9" w:rsidP="00051480">
                  <w:pPr>
                    <w:ind w:left="0"/>
                  </w:pPr>
                </w:p>
              </w:txbxContent>
            </v:textbox>
          </v:shape>
        </w:pict>
      </w:r>
      <w:r w:rsidR="00FF3645">
        <w:rPr>
          <w:sz w:val="28"/>
          <w:szCs w:val="24"/>
        </w:rPr>
        <w:br w:type="page"/>
      </w:r>
    </w:p>
    <w:p w:rsidR="009C38FE" w:rsidRDefault="009C38FE" w:rsidP="00F92882">
      <w:pPr>
        <w:pStyle w:val="HeaderTitle0"/>
      </w:pPr>
      <w:bookmarkStart w:id="17" w:name="requestinganehcneedsassessment"/>
      <w:r>
        <w:lastRenderedPageBreak/>
        <w:t>Requesting an E</w:t>
      </w:r>
      <w:r w:rsidR="00C5154B">
        <w:t xml:space="preserve">ducation, </w:t>
      </w:r>
      <w:r>
        <w:t>H</w:t>
      </w:r>
      <w:r w:rsidR="00C5154B">
        <w:t xml:space="preserve">ealth and </w:t>
      </w:r>
      <w:r>
        <w:t>C</w:t>
      </w:r>
      <w:r w:rsidR="00C5154B">
        <w:t>are</w:t>
      </w:r>
      <w:r>
        <w:t xml:space="preserve"> </w:t>
      </w:r>
      <w:r w:rsidR="00C5154B">
        <w:t xml:space="preserve">(EHC) </w:t>
      </w:r>
      <w:r>
        <w:t>needs assessment</w:t>
      </w:r>
    </w:p>
    <w:bookmarkEnd w:id="17"/>
    <w:p w:rsidR="009C38FE" w:rsidRDefault="009C38FE" w:rsidP="009C38FE">
      <w:pPr>
        <w:rPr>
          <w:rFonts w:asciiTheme="minorHAnsi" w:hAnsiTheme="minorHAnsi"/>
          <w:sz w:val="24"/>
          <w:szCs w:val="24"/>
        </w:rPr>
      </w:pPr>
    </w:p>
    <w:p w:rsidR="00D71745" w:rsidRPr="00D71745" w:rsidRDefault="00D71745" w:rsidP="00D71745">
      <w:pPr>
        <w:pStyle w:val="Instruction"/>
        <w:rPr>
          <w:i/>
          <w:sz w:val="28"/>
        </w:rPr>
      </w:pPr>
      <w:r w:rsidRPr="00D71745">
        <w:rPr>
          <w:i/>
          <w:sz w:val="28"/>
        </w:rPr>
        <w:t>Who can request an EHC needs assessment?</w:t>
      </w:r>
    </w:p>
    <w:p w:rsidR="009C38FE" w:rsidRPr="009C38FE" w:rsidRDefault="008237DA" w:rsidP="009C38FE">
      <w:pPr>
        <w:rPr>
          <w:rFonts w:asciiTheme="minorHAnsi" w:hAnsiTheme="minorHAnsi"/>
          <w:sz w:val="24"/>
          <w:szCs w:val="24"/>
        </w:rPr>
      </w:pPr>
      <w:r>
        <w:rPr>
          <w:rFonts w:asciiTheme="minorHAnsi" w:hAnsiTheme="minorHAnsi"/>
          <w:sz w:val="24"/>
          <w:szCs w:val="24"/>
        </w:rPr>
        <w:t>In</w:t>
      </w:r>
      <w:r w:rsidR="009C38FE" w:rsidRPr="009C38FE">
        <w:rPr>
          <w:rFonts w:asciiTheme="minorHAnsi" w:hAnsiTheme="minorHAnsi"/>
          <w:sz w:val="24"/>
          <w:szCs w:val="24"/>
        </w:rPr>
        <w:t xml:space="preserve"> September 2014 a request for statutory assessment of special educational needs </w:t>
      </w:r>
      <w:r>
        <w:rPr>
          <w:rFonts w:asciiTheme="minorHAnsi" w:hAnsiTheme="minorHAnsi"/>
          <w:sz w:val="24"/>
          <w:szCs w:val="24"/>
        </w:rPr>
        <w:t>became</w:t>
      </w:r>
      <w:r w:rsidR="009C38FE" w:rsidRPr="009C38FE">
        <w:rPr>
          <w:rFonts w:asciiTheme="minorHAnsi" w:hAnsiTheme="minorHAnsi"/>
          <w:sz w:val="24"/>
          <w:szCs w:val="24"/>
        </w:rPr>
        <w:t xml:space="preserve"> a request for an EHC needs assessment.  </w:t>
      </w:r>
      <w:r w:rsidR="00F94BBD">
        <w:rPr>
          <w:rFonts w:asciiTheme="minorHAnsi" w:hAnsiTheme="minorHAnsi"/>
          <w:sz w:val="24"/>
          <w:szCs w:val="24"/>
        </w:rPr>
        <w:t>R</w:t>
      </w:r>
      <w:r w:rsidR="009C38FE" w:rsidRPr="009C38FE">
        <w:rPr>
          <w:rFonts w:asciiTheme="minorHAnsi" w:hAnsiTheme="minorHAnsi"/>
          <w:sz w:val="24"/>
          <w:szCs w:val="24"/>
        </w:rPr>
        <w:t>equests can be made by</w:t>
      </w:r>
      <w:r w:rsidR="009C38FE">
        <w:rPr>
          <w:rFonts w:asciiTheme="minorHAnsi" w:hAnsiTheme="minorHAnsi"/>
          <w:sz w:val="24"/>
          <w:szCs w:val="24"/>
        </w:rPr>
        <w:t xml:space="preserve"> </w:t>
      </w:r>
      <w:r w:rsidR="009C38FE" w:rsidRPr="009C38FE">
        <w:rPr>
          <w:rFonts w:asciiTheme="minorHAnsi" w:hAnsiTheme="minorHAnsi"/>
          <w:sz w:val="24"/>
          <w:szCs w:val="24"/>
        </w:rPr>
        <w:t>the child’s parents</w:t>
      </w:r>
      <w:r w:rsidR="00F94BBD">
        <w:rPr>
          <w:rFonts w:asciiTheme="minorHAnsi" w:hAnsiTheme="minorHAnsi"/>
          <w:sz w:val="24"/>
          <w:szCs w:val="24"/>
        </w:rPr>
        <w:t>,</w:t>
      </w:r>
      <w:r w:rsidR="009C38FE">
        <w:rPr>
          <w:rFonts w:asciiTheme="minorHAnsi" w:hAnsiTheme="minorHAnsi"/>
          <w:sz w:val="24"/>
          <w:szCs w:val="24"/>
        </w:rPr>
        <w:t xml:space="preserve"> </w:t>
      </w:r>
      <w:r w:rsidR="009C38FE" w:rsidRPr="009C38FE">
        <w:rPr>
          <w:rFonts w:asciiTheme="minorHAnsi" w:hAnsiTheme="minorHAnsi"/>
          <w:sz w:val="24"/>
          <w:szCs w:val="24"/>
        </w:rPr>
        <w:t>a person acting on behalf of a</w:t>
      </w:r>
      <w:r w:rsidR="00437886">
        <w:rPr>
          <w:rFonts w:asciiTheme="minorHAnsi" w:hAnsiTheme="minorHAnsi"/>
          <w:sz w:val="24"/>
          <w:szCs w:val="24"/>
        </w:rPr>
        <w:t>n educational setting</w:t>
      </w:r>
      <w:r w:rsidR="009C38FE" w:rsidRPr="009C38FE">
        <w:rPr>
          <w:rFonts w:asciiTheme="minorHAnsi" w:hAnsiTheme="minorHAnsi"/>
          <w:sz w:val="24"/>
          <w:szCs w:val="24"/>
        </w:rPr>
        <w:t xml:space="preserve"> (this should be with the knowledge and agreement of the parent or young person where possible)</w:t>
      </w:r>
      <w:r w:rsidR="009C38FE">
        <w:rPr>
          <w:rFonts w:asciiTheme="minorHAnsi" w:hAnsiTheme="minorHAnsi"/>
          <w:sz w:val="24"/>
          <w:szCs w:val="24"/>
        </w:rPr>
        <w:t xml:space="preserve">, </w:t>
      </w:r>
      <w:r w:rsidR="00F94BBD">
        <w:rPr>
          <w:rFonts w:asciiTheme="minorHAnsi" w:hAnsiTheme="minorHAnsi"/>
          <w:sz w:val="24"/>
          <w:szCs w:val="24"/>
        </w:rPr>
        <w:t xml:space="preserve">or </w:t>
      </w:r>
      <w:r w:rsidR="009C38FE">
        <w:rPr>
          <w:rFonts w:asciiTheme="minorHAnsi" w:hAnsiTheme="minorHAnsi"/>
          <w:sz w:val="24"/>
          <w:szCs w:val="24"/>
        </w:rPr>
        <w:t>a</w:t>
      </w:r>
      <w:r w:rsidR="009C38FE" w:rsidRPr="009C38FE">
        <w:rPr>
          <w:rFonts w:asciiTheme="minorHAnsi" w:hAnsiTheme="minorHAnsi"/>
          <w:sz w:val="24"/>
          <w:szCs w:val="24"/>
        </w:rPr>
        <w:t xml:space="preserve"> young person over the age of 16 but under the age of 25</w:t>
      </w:r>
      <w:r w:rsidR="009C38FE">
        <w:rPr>
          <w:rFonts w:asciiTheme="minorHAnsi" w:hAnsiTheme="minorHAnsi"/>
          <w:sz w:val="24"/>
          <w:szCs w:val="24"/>
        </w:rPr>
        <w:t>.</w:t>
      </w:r>
    </w:p>
    <w:p w:rsidR="003B4EFF" w:rsidRDefault="003B4EFF" w:rsidP="003B4EFF">
      <w:pPr>
        <w:pStyle w:val="Instruction"/>
        <w:rPr>
          <w:i/>
          <w:sz w:val="28"/>
        </w:rPr>
      </w:pPr>
    </w:p>
    <w:p w:rsidR="003B4EFF" w:rsidRPr="00D71745" w:rsidRDefault="003B4EFF" w:rsidP="003B4EFF">
      <w:pPr>
        <w:pStyle w:val="Instruction"/>
        <w:rPr>
          <w:i/>
          <w:sz w:val="28"/>
        </w:rPr>
      </w:pPr>
      <w:r>
        <w:rPr>
          <w:i/>
          <w:sz w:val="28"/>
        </w:rPr>
        <w:t>How do educational settings initiate an EHC needs assessment</w:t>
      </w:r>
      <w:r w:rsidRPr="00D71745">
        <w:rPr>
          <w:i/>
          <w:sz w:val="28"/>
        </w:rPr>
        <w:t>?</w:t>
      </w:r>
    </w:p>
    <w:p w:rsidR="003B4EFF" w:rsidRDefault="003B4EFF" w:rsidP="003B4EFF">
      <w:pPr>
        <w:rPr>
          <w:rFonts w:asciiTheme="minorHAnsi" w:hAnsiTheme="minorHAnsi"/>
          <w:sz w:val="24"/>
          <w:szCs w:val="24"/>
        </w:rPr>
      </w:pPr>
      <w:r w:rsidRPr="009C38FE">
        <w:rPr>
          <w:rFonts w:asciiTheme="minorHAnsi" w:hAnsiTheme="minorHAnsi"/>
          <w:sz w:val="24"/>
          <w:szCs w:val="24"/>
        </w:rPr>
        <w:t>The process</w:t>
      </w:r>
      <w:r>
        <w:rPr>
          <w:rFonts w:asciiTheme="minorHAnsi" w:hAnsiTheme="minorHAnsi"/>
          <w:sz w:val="24"/>
          <w:szCs w:val="24"/>
        </w:rPr>
        <w:t xml:space="preserve"> and timescales involved in </w:t>
      </w:r>
      <w:r w:rsidRPr="009C38FE">
        <w:rPr>
          <w:rFonts w:asciiTheme="minorHAnsi" w:hAnsiTheme="minorHAnsi"/>
          <w:sz w:val="24"/>
          <w:szCs w:val="24"/>
        </w:rPr>
        <w:t xml:space="preserve">an EHC needs assessment is </w:t>
      </w:r>
      <w:r>
        <w:rPr>
          <w:rFonts w:asciiTheme="minorHAnsi" w:hAnsiTheme="minorHAnsi"/>
          <w:sz w:val="24"/>
          <w:szCs w:val="24"/>
        </w:rPr>
        <w:t xml:space="preserve">described step-by-step in </w:t>
      </w:r>
      <w:hyperlink w:anchor="In_App_b" w:tooltip="Go to appendix b" w:history="1">
        <w:r w:rsidRPr="002426B2">
          <w:rPr>
            <w:rStyle w:val="Hyperlink"/>
            <w:rFonts w:asciiTheme="minorHAnsi" w:hAnsiTheme="minorHAnsi"/>
            <w:sz w:val="24"/>
            <w:szCs w:val="24"/>
          </w:rPr>
          <w:t>appendix b</w:t>
        </w:r>
      </w:hyperlink>
      <w:r>
        <w:rPr>
          <w:rFonts w:asciiTheme="minorHAnsi" w:hAnsiTheme="minorHAnsi"/>
          <w:sz w:val="24"/>
          <w:szCs w:val="24"/>
        </w:rPr>
        <w:t>.  For school</w:t>
      </w:r>
      <w:r w:rsidRPr="009C38FE">
        <w:rPr>
          <w:rFonts w:asciiTheme="minorHAnsi" w:hAnsiTheme="minorHAnsi"/>
          <w:sz w:val="24"/>
          <w:szCs w:val="24"/>
        </w:rPr>
        <w:t>s</w:t>
      </w:r>
      <w:r w:rsidR="00323D15">
        <w:rPr>
          <w:rFonts w:asciiTheme="minorHAnsi" w:hAnsiTheme="minorHAnsi"/>
          <w:sz w:val="24"/>
          <w:szCs w:val="24"/>
        </w:rPr>
        <w:t xml:space="preserve"> </w:t>
      </w:r>
      <w:r>
        <w:rPr>
          <w:rFonts w:asciiTheme="minorHAnsi" w:hAnsiTheme="minorHAnsi"/>
          <w:sz w:val="24"/>
          <w:szCs w:val="24"/>
        </w:rPr>
        <w:t xml:space="preserve">and early </w:t>
      </w:r>
      <w:proofErr w:type="gramStart"/>
      <w:r>
        <w:rPr>
          <w:rFonts w:asciiTheme="minorHAnsi" w:hAnsiTheme="minorHAnsi"/>
          <w:sz w:val="24"/>
          <w:szCs w:val="24"/>
        </w:rPr>
        <w:t>years</w:t>
      </w:r>
      <w:proofErr w:type="gramEnd"/>
      <w:r>
        <w:rPr>
          <w:rFonts w:asciiTheme="minorHAnsi" w:hAnsiTheme="minorHAnsi"/>
          <w:sz w:val="24"/>
          <w:szCs w:val="24"/>
        </w:rPr>
        <w:t xml:space="preserve"> settings</w:t>
      </w:r>
      <w:r w:rsidRPr="009C38FE">
        <w:rPr>
          <w:rFonts w:asciiTheme="minorHAnsi" w:hAnsiTheme="minorHAnsi"/>
          <w:sz w:val="24"/>
          <w:szCs w:val="24"/>
        </w:rPr>
        <w:t xml:space="preserve"> the main difference f</w:t>
      </w:r>
      <w:r>
        <w:rPr>
          <w:rFonts w:asciiTheme="minorHAnsi" w:hAnsiTheme="minorHAnsi"/>
          <w:sz w:val="24"/>
          <w:szCs w:val="24"/>
        </w:rPr>
        <w:t xml:space="preserve">rom past procedures is that they will be expected to arrange </w:t>
      </w:r>
      <w:r w:rsidRPr="009C38FE">
        <w:rPr>
          <w:rFonts w:asciiTheme="minorHAnsi" w:hAnsiTheme="minorHAnsi"/>
          <w:sz w:val="24"/>
          <w:szCs w:val="24"/>
        </w:rPr>
        <w:t>a</w:t>
      </w:r>
      <w:r>
        <w:rPr>
          <w:rFonts w:asciiTheme="minorHAnsi" w:hAnsiTheme="minorHAnsi"/>
          <w:sz w:val="24"/>
          <w:szCs w:val="24"/>
        </w:rPr>
        <w:t xml:space="preserve">n </w:t>
      </w:r>
      <w:r w:rsidR="00C5154B">
        <w:rPr>
          <w:rFonts w:asciiTheme="minorHAnsi" w:hAnsiTheme="minorHAnsi"/>
          <w:b/>
          <w:sz w:val="24"/>
          <w:szCs w:val="24"/>
        </w:rPr>
        <w:t>SEN S</w:t>
      </w:r>
      <w:r w:rsidRPr="00D90EE5">
        <w:rPr>
          <w:rFonts w:asciiTheme="minorHAnsi" w:hAnsiTheme="minorHAnsi"/>
          <w:b/>
          <w:sz w:val="24"/>
          <w:szCs w:val="24"/>
        </w:rPr>
        <w:t>upport</w:t>
      </w:r>
      <w:r w:rsidR="002A0023">
        <w:rPr>
          <w:rFonts w:asciiTheme="minorHAnsi" w:hAnsiTheme="minorHAnsi"/>
          <w:b/>
          <w:sz w:val="24"/>
          <w:szCs w:val="24"/>
        </w:rPr>
        <w:t xml:space="preserve"> “</w:t>
      </w:r>
      <w:r w:rsidR="00C5154B">
        <w:rPr>
          <w:rFonts w:asciiTheme="minorHAnsi" w:hAnsiTheme="minorHAnsi"/>
          <w:b/>
          <w:sz w:val="24"/>
          <w:szCs w:val="24"/>
        </w:rPr>
        <w:t>My Support Plan</w:t>
      </w:r>
      <w:r w:rsidR="002A0023">
        <w:rPr>
          <w:rFonts w:asciiTheme="minorHAnsi" w:hAnsiTheme="minorHAnsi"/>
          <w:b/>
          <w:sz w:val="24"/>
          <w:szCs w:val="24"/>
        </w:rPr>
        <w:t>”</w:t>
      </w:r>
      <w:r w:rsidRPr="009C38FE">
        <w:rPr>
          <w:rFonts w:asciiTheme="minorHAnsi" w:hAnsiTheme="minorHAnsi"/>
          <w:sz w:val="24"/>
          <w:szCs w:val="24"/>
        </w:rPr>
        <w:t xml:space="preserve"> </w:t>
      </w:r>
      <w:r w:rsidR="00C5154B" w:rsidRPr="00C5154B">
        <w:rPr>
          <w:rFonts w:asciiTheme="minorHAnsi" w:hAnsiTheme="minorHAnsi"/>
          <w:b/>
          <w:sz w:val="24"/>
          <w:szCs w:val="24"/>
        </w:rPr>
        <w:t>M</w:t>
      </w:r>
      <w:r w:rsidRPr="002426B2">
        <w:rPr>
          <w:rFonts w:asciiTheme="minorHAnsi" w:hAnsiTheme="minorHAnsi"/>
          <w:b/>
          <w:sz w:val="24"/>
          <w:szCs w:val="24"/>
        </w:rPr>
        <w:t>eeting</w:t>
      </w:r>
      <w:r w:rsidR="00C5154B">
        <w:rPr>
          <w:rFonts w:asciiTheme="minorHAnsi" w:hAnsiTheme="minorHAnsi"/>
          <w:b/>
          <w:sz w:val="24"/>
          <w:szCs w:val="24"/>
        </w:rPr>
        <w:t>,</w:t>
      </w:r>
      <w:r w:rsidRPr="009C38FE">
        <w:rPr>
          <w:rFonts w:asciiTheme="minorHAnsi" w:hAnsiTheme="minorHAnsi"/>
          <w:sz w:val="24"/>
          <w:szCs w:val="24"/>
        </w:rPr>
        <w:t xml:space="preserve"> </w:t>
      </w:r>
      <w:r>
        <w:rPr>
          <w:rFonts w:asciiTheme="minorHAnsi" w:hAnsiTheme="minorHAnsi"/>
          <w:sz w:val="24"/>
          <w:szCs w:val="24"/>
        </w:rPr>
        <w:t>attended by the SEND Lead Worker w</w:t>
      </w:r>
      <w:r w:rsidR="00DF093C">
        <w:rPr>
          <w:rFonts w:asciiTheme="minorHAnsi" w:hAnsiTheme="minorHAnsi"/>
          <w:sz w:val="24"/>
          <w:szCs w:val="24"/>
        </w:rPr>
        <w:t>hen they are considering making</w:t>
      </w:r>
      <w:r w:rsidRPr="009C38FE">
        <w:rPr>
          <w:rFonts w:asciiTheme="minorHAnsi" w:hAnsiTheme="minorHAnsi"/>
          <w:sz w:val="24"/>
          <w:szCs w:val="24"/>
        </w:rPr>
        <w:t xml:space="preserve"> a request</w:t>
      </w:r>
      <w:r>
        <w:rPr>
          <w:rFonts w:asciiTheme="minorHAnsi" w:hAnsiTheme="minorHAnsi"/>
          <w:sz w:val="24"/>
          <w:szCs w:val="24"/>
        </w:rPr>
        <w:t xml:space="preserve"> for an EHC needs assessment</w:t>
      </w:r>
      <w:r w:rsidRPr="009C38FE">
        <w:rPr>
          <w:rFonts w:asciiTheme="minorHAnsi" w:hAnsiTheme="minorHAnsi"/>
          <w:sz w:val="24"/>
          <w:szCs w:val="24"/>
        </w:rPr>
        <w:t xml:space="preserve">.  This </w:t>
      </w:r>
      <w:r>
        <w:rPr>
          <w:rFonts w:asciiTheme="minorHAnsi" w:hAnsiTheme="minorHAnsi"/>
          <w:sz w:val="24"/>
          <w:szCs w:val="24"/>
        </w:rPr>
        <w:t xml:space="preserve">will review the existing My Support Plan.  It </w:t>
      </w:r>
      <w:r w:rsidRPr="009C38FE">
        <w:rPr>
          <w:rFonts w:asciiTheme="minorHAnsi" w:hAnsiTheme="minorHAnsi"/>
          <w:sz w:val="24"/>
          <w:szCs w:val="24"/>
        </w:rPr>
        <w:t xml:space="preserve">is not to agree or disagree with the request but </w:t>
      </w:r>
      <w:r>
        <w:rPr>
          <w:rFonts w:asciiTheme="minorHAnsi" w:hAnsiTheme="minorHAnsi"/>
          <w:sz w:val="24"/>
          <w:szCs w:val="24"/>
        </w:rPr>
        <w:t xml:space="preserve">for the SLW </w:t>
      </w:r>
      <w:r w:rsidRPr="009C38FE">
        <w:rPr>
          <w:rFonts w:asciiTheme="minorHAnsi" w:hAnsiTheme="minorHAnsi"/>
          <w:sz w:val="24"/>
          <w:szCs w:val="24"/>
        </w:rPr>
        <w:t xml:space="preserve">to get to know the family and issues in order to encourage a “tell us once” approach.  </w:t>
      </w:r>
    </w:p>
    <w:p w:rsidR="009C38FE" w:rsidRDefault="009C38FE" w:rsidP="009C38FE">
      <w:pPr>
        <w:rPr>
          <w:rFonts w:asciiTheme="minorHAnsi" w:hAnsiTheme="minorHAnsi"/>
          <w:sz w:val="24"/>
          <w:szCs w:val="24"/>
        </w:rPr>
      </w:pPr>
    </w:p>
    <w:p w:rsidR="003B4EFF" w:rsidRPr="00D71745" w:rsidRDefault="003B4EFF" w:rsidP="003B4EFF">
      <w:pPr>
        <w:pStyle w:val="Instruction"/>
        <w:rPr>
          <w:i/>
          <w:sz w:val="28"/>
        </w:rPr>
      </w:pPr>
      <w:r>
        <w:rPr>
          <w:i/>
          <w:sz w:val="28"/>
        </w:rPr>
        <w:t>What evidence is required when requesting</w:t>
      </w:r>
      <w:r w:rsidRPr="00D71745">
        <w:rPr>
          <w:i/>
          <w:sz w:val="28"/>
        </w:rPr>
        <w:t xml:space="preserve"> an EHC needs assessment?</w:t>
      </w:r>
    </w:p>
    <w:p w:rsidR="003B4EFF" w:rsidRDefault="003B4EFF" w:rsidP="003B4EFF">
      <w:pPr>
        <w:rPr>
          <w:rFonts w:asciiTheme="minorHAnsi" w:hAnsiTheme="minorHAnsi"/>
          <w:sz w:val="24"/>
          <w:szCs w:val="24"/>
        </w:rPr>
      </w:pPr>
      <w:r>
        <w:rPr>
          <w:rFonts w:asciiTheme="minorHAnsi" w:hAnsiTheme="minorHAnsi"/>
          <w:sz w:val="24"/>
          <w:szCs w:val="24"/>
        </w:rPr>
        <w:t>Once the SEN support meeting has been held, the educational setting then co</w:t>
      </w:r>
      <w:r w:rsidR="00323D15">
        <w:rPr>
          <w:rFonts w:asciiTheme="minorHAnsi" w:hAnsiTheme="minorHAnsi"/>
          <w:sz w:val="24"/>
          <w:szCs w:val="24"/>
        </w:rPr>
        <w:t>mpletes the relevant paperwork providing there is sufficient evidence that the child meets the criteria (40% - 50% delay in two or more areas). An</w:t>
      </w:r>
      <w:r w:rsidRPr="009C38FE">
        <w:rPr>
          <w:rFonts w:asciiTheme="minorHAnsi" w:hAnsiTheme="minorHAnsi"/>
          <w:sz w:val="24"/>
          <w:szCs w:val="24"/>
        </w:rPr>
        <w:t xml:space="preserve"> EHC needs assessment </w:t>
      </w:r>
      <w:r>
        <w:rPr>
          <w:rFonts w:asciiTheme="minorHAnsi" w:hAnsiTheme="minorHAnsi"/>
          <w:sz w:val="24"/>
          <w:szCs w:val="24"/>
        </w:rPr>
        <w:t xml:space="preserve">may be applied for </w:t>
      </w:r>
      <w:r w:rsidRPr="009C38FE">
        <w:rPr>
          <w:rFonts w:asciiTheme="minorHAnsi" w:hAnsiTheme="minorHAnsi"/>
          <w:sz w:val="24"/>
          <w:szCs w:val="24"/>
        </w:rPr>
        <w:t xml:space="preserve">by sending in a </w:t>
      </w:r>
      <w:r>
        <w:rPr>
          <w:rFonts w:asciiTheme="minorHAnsi" w:hAnsiTheme="minorHAnsi"/>
          <w:sz w:val="24"/>
          <w:szCs w:val="24"/>
        </w:rPr>
        <w:t xml:space="preserve">completed My Support Plan with evidence of reviews and the appropriate </w:t>
      </w:r>
      <w:r w:rsidRPr="009C38FE">
        <w:rPr>
          <w:rFonts w:asciiTheme="minorHAnsi" w:hAnsiTheme="minorHAnsi"/>
          <w:sz w:val="24"/>
          <w:szCs w:val="24"/>
        </w:rPr>
        <w:t>cover sheet</w:t>
      </w:r>
      <w:r>
        <w:rPr>
          <w:rFonts w:asciiTheme="minorHAnsi" w:hAnsiTheme="minorHAnsi"/>
          <w:sz w:val="24"/>
          <w:szCs w:val="24"/>
        </w:rPr>
        <w:t xml:space="preserve"> (</w:t>
      </w:r>
      <w:r w:rsidR="008C12DA">
        <w:rPr>
          <w:rFonts w:asciiTheme="minorHAnsi" w:hAnsiTheme="minorHAnsi"/>
          <w:sz w:val="24"/>
          <w:szCs w:val="24"/>
        </w:rPr>
        <w:t>available</w:t>
      </w:r>
      <w:r>
        <w:rPr>
          <w:rFonts w:asciiTheme="minorHAnsi" w:hAnsiTheme="minorHAnsi"/>
          <w:sz w:val="24"/>
          <w:szCs w:val="24"/>
        </w:rPr>
        <w:t xml:space="preserve"> </w:t>
      </w:r>
      <w:hyperlink r:id="rId26" w:history="1">
        <w:r>
          <w:rPr>
            <w:rStyle w:val="Hyperlink"/>
            <w:rFonts w:asciiTheme="minorHAnsi" w:hAnsiTheme="minorHAnsi"/>
            <w:sz w:val="24"/>
            <w:szCs w:val="24"/>
          </w:rPr>
          <w:t>here</w:t>
        </w:r>
      </w:hyperlink>
      <w:r>
        <w:rPr>
          <w:rFonts w:asciiTheme="minorHAnsi" w:hAnsiTheme="minorHAnsi"/>
          <w:sz w:val="24"/>
          <w:szCs w:val="24"/>
        </w:rPr>
        <w:t>)</w:t>
      </w:r>
      <w:r w:rsidRPr="009C38FE">
        <w:rPr>
          <w:rFonts w:asciiTheme="minorHAnsi" w:hAnsiTheme="minorHAnsi"/>
          <w:sz w:val="24"/>
          <w:szCs w:val="24"/>
        </w:rPr>
        <w:t xml:space="preserve">.  </w:t>
      </w:r>
      <w:r>
        <w:rPr>
          <w:rFonts w:asciiTheme="minorHAnsi" w:hAnsiTheme="minorHAnsi"/>
          <w:sz w:val="24"/>
          <w:szCs w:val="24"/>
        </w:rPr>
        <w:t>I</w:t>
      </w:r>
      <w:r w:rsidRPr="009C38FE">
        <w:rPr>
          <w:rFonts w:asciiTheme="minorHAnsi" w:hAnsiTheme="minorHAnsi"/>
          <w:sz w:val="24"/>
          <w:szCs w:val="24"/>
        </w:rPr>
        <w:t>nitially</w:t>
      </w:r>
      <w:r>
        <w:rPr>
          <w:rFonts w:asciiTheme="minorHAnsi" w:hAnsiTheme="minorHAnsi"/>
          <w:sz w:val="24"/>
          <w:szCs w:val="24"/>
        </w:rPr>
        <w:t>,</w:t>
      </w:r>
      <w:r w:rsidRPr="009C38FE">
        <w:rPr>
          <w:rFonts w:asciiTheme="minorHAnsi" w:hAnsiTheme="minorHAnsi"/>
          <w:sz w:val="24"/>
          <w:szCs w:val="24"/>
        </w:rPr>
        <w:t xml:space="preserve"> review information</w:t>
      </w:r>
      <w:r>
        <w:rPr>
          <w:rFonts w:asciiTheme="minorHAnsi" w:hAnsiTheme="minorHAnsi"/>
          <w:sz w:val="24"/>
          <w:szCs w:val="24"/>
        </w:rPr>
        <w:t xml:space="preserve"> may be</w:t>
      </w:r>
      <w:r w:rsidRPr="009C38FE">
        <w:rPr>
          <w:rFonts w:asciiTheme="minorHAnsi" w:hAnsiTheme="minorHAnsi"/>
          <w:sz w:val="24"/>
          <w:szCs w:val="24"/>
        </w:rPr>
        <w:t xml:space="preserve"> </w:t>
      </w:r>
      <w:r>
        <w:rPr>
          <w:rFonts w:asciiTheme="minorHAnsi" w:hAnsiTheme="minorHAnsi"/>
          <w:sz w:val="24"/>
          <w:szCs w:val="24"/>
        </w:rPr>
        <w:t>included in older</w:t>
      </w:r>
      <w:r w:rsidRPr="009C38FE">
        <w:rPr>
          <w:rFonts w:asciiTheme="minorHAnsi" w:hAnsiTheme="minorHAnsi"/>
          <w:sz w:val="24"/>
          <w:szCs w:val="24"/>
        </w:rPr>
        <w:t xml:space="preserve"> format</w:t>
      </w:r>
      <w:r>
        <w:rPr>
          <w:rFonts w:asciiTheme="minorHAnsi" w:hAnsiTheme="minorHAnsi"/>
          <w:sz w:val="24"/>
          <w:szCs w:val="24"/>
        </w:rPr>
        <w:t>s</w:t>
      </w:r>
      <w:r w:rsidRPr="009C38FE">
        <w:rPr>
          <w:rFonts w:asciiTheme="minorHAnsi" w:hAnsiTheme="minorHAnsi"/>
          <w:sz w:val="24"/>
          <w:szCs w:val="24"/>
        </w:rPr>
        <w:t xml:space="preserve">, </w:t>
      </w:r>
      <w:r>
        <w:rPr>
          <w:rFonts w:asciiTheme="minorHAnsi" w:hAnsiTheme="minorHAnsi"/>
          <w:sz w:val="24"/>
          <w:szCs w:val="24"/>
        </w:rPr>
        <w:t xml:space="preserve">however, </w:t>
      </w:r>
      <w:r w:rsidRPr="009C38FE">
        <w:rPr>
          <w:rFonts w:asciiTheme="minorHAnsi" w:hAnsiTheme="minorHAnsi"/>
          <w:sz w:val="24"/>
          <w:szCs w:val="24"/>
        </w:rPr>
        <w:t xml:space="preserve">over time </w:t>
      </w:r>
      <w:r>
        <w:rPr>
          <w:rFonts w:asciiTheme="minorHAnsi" w:hAnsiTheme="minorHAnsi"/>
          <w:sz w:val="24"/>
          <w:szCs w:val="24"/>
        </w:rPr>
        <w:t>it is</w:t>
      </w:r>
      <w:r w:rsidRPr="009C38FE">
        <w:rPr>
          <w:rFonts w:asciiTheme="minorHAnsi" w:hAnsiTheme="minorHAnsi"/>
          <w:sz w:val="24"/>
          <w:szCs w:val="24"/>
        </w:rPr>
        <w:t xml:space="preserve"> expect</w:t>
      </w:r>
      <w:r>
        <w:rPr>
          <w:rFonts w:asciiTheme="minorHAnsi" w:hAnsiTheme="minorHAnsi"/>
          <w:sz w:val="24"/>
          <w:szCs w:val="24"/>
        </w:rPr>
        <w:t>ed that</w:t>
      </w:r>
      <w:r w:rsidRPr="009C38FE">
        <w:rPr>
          <w:rFonts w:asciiTheme="minorHAnsi" w:hAnsiTheme="minorHAnsi"/>
          <w:sz w:val="24"/>
          <w:szCs w:val="24"/>
        </w:rPr>
        <w:t xml:space="preserve"> cycle</w:t>
      </w:r>
      <w:r>
        <w:rPr>
          <w:rFonts w:asciiTheme="minorHAnsi" w:hAnsiTheme="minorHAnsi"/>
          <w:sz w:val="24"/>
          <w:szCs w:val="24"/>
        </w:rPr>
        <w:t>s</w:t>
      </w:r>
      <w:r w:rsidRPr="009C38FE">
        <w:rPr>
          <w:rFonts w:asciiTheme="minorHAnsi" w:hAnsiTheme="minorHAnsi"/>
          <w:sz w:val="24"/>
          <w:szCs w:val="24"/>
        </w:rPr>
        <w:t xml:space="preserve"> of reviewed My Support Plans </w:t>
      </w:r>
      <w:r>
        <w:rPr>
          <w:rFonts w:asciiTheme="minorHAnsi" w:hAnsiTheme="minorHAnsi"/>
          <w:sz w:val="24"/>
          <w:szCs w:val="24"/>
        </w:rPr>
        <w:t>will be used as</w:t>
      </w:r>
      <w:r w:rsidRPr="009C38FE">
        <w:rPr>
          <w:rFonts w:asciiTheme="minorHAnsi" w:hAnsiTheme="minorHAnsi"/>
          <w:sz w:val="24"/>
          <w:szCs w:val="24"/>
        </w:rPr>
        <w:t xml:space="preserve"> evidence of the needs analysis and support put in place as part of the graduated approach. </w:t>
      </w:r>
      <w:r>
        <w:rPr>
          <w:rFonts w:asciiTheme="minorHAnsi" w:hAnsiTheme="minorHAnsi"/>
          <w:sz w:val="24"/>
          <w:szCs w:val="24"/>
        </w:rPr>
        <w:t xml:space="preserve"> W</w:t>
      </w:r>
      <w:r w:rsidR="00323D15">
        <w:rPr>
          <w:rFonts w:asciiTheme="minorHAnsi" w:hAnsiTheme="minorHAnsi"/>
          <w:sz w:val="24"/>
          <w:szCs w:val="24"/>
        </w:rPr>
        <w:t>here it has been used, the Child</w:t>
      </w:r>
      <w:r>
        <w:rPr>
          <w:rFonts w:asciiTheme="minorHAnsi" w:hAnsiTheme="minorHAnsi"/>
          <w:sz w:val="24"/>
          <w:szCs w:val="24"/>
        </w:rPr>
        <w:t xml:space="preserve"> Profile from the GRSS may also form useful supporting evidence of a graduated response.</w:t>
      </w:r>
    </w:p>
    <w:p w:rsidR="003B4EFF" w:rsidRDefault="003B4EFF" w:rsidP="003B4EFF">
      <w:pPr>
        <w:rPr>
          <w:rFonts w:asciiTheme="minorHAnsi" w:hAnsiTheme="minorHAnsi"/>
          <w:sz w:val="24"/>
          <w:szCs w:val="24"/>
        </w:rPr>
      </w:pPr>
    </w:p>
    <w:p w:rsidR="003B4EFF" w:rsidRDefault="003B4EFF" w:rsidP="003B4EFF">
      <w:pPr>
        <w:rPr>
          <w:rFonts w:asciiTheme="minorHAnsi" w:hAnsiTheme="minorHAnsi"/>
          <w:sz w:val="24"/>
          <w:szCs w:val="24"/>
        </w:rPr>
      </w:pPr>
      <w:r w:rsidRPr="009C38FE">
        <w:rPr>
          <w:rFonts w:asciiTheme="minorHAnsi" w:hAnsiTheme="minorHAnsi"/>
          <w:sz w:val="24"/>
          <w:szCs w:val="24"/>
        </w:rPr>
        <w:t>Changes to the national c</w:t>
      </w:r>
      <w:r>
        <w:rPr>
          <w:rFonts w:asciiTheme="minorHAnsi" w:hAnsiTheme="minorHAnsi"/>
          <w:sz w:val="24"/>
          <w:szCs w:val="24"/>
        </w:rPr>
        <w:t>urriculum and national guidance</w:t>
      </w:r>
      <w:r w:rsidRPr="009C38FE">
        <w:rPr>
          <w:rFonts w:asciiTheme="minorHAnsi" w:hAnsiTheme="minorHAnsi"/>
          <w:sz w:val="24"/>
          <w:szCs w:val="24"/>
        </w:rPr>
        <w:t xml:space="preserve"> </w:t>
      </w:r>
      <w:r>
        <w:rPr>
          <w:rFonts w:asciiTheme="minorHAnsi" w:hAnsiTheme="minorHAnsi"/>
          <w:sz w:val="24"/>
          <w:szCs w:val="24"/>
        </w:rPr>
        <w:t xml:space="preserve">stating that schools </w:t>
      </w:r>
      <w:r w:rsidRPr="009C38FE">
        <w:rPr>
          <w:rFonts w:asciiTheme="minorHAnsi" w:hAnsiTheme="minorHAnsi"/>
          <w:sz w:val="24"/>
          <w:szCs w:val="24"/>
        </w:rPr>
        <w:t xml:space="preserve">can determine their own approach to </w:t>
      </w:r>
      <w:r>
        <w:rPr>
          <w:rFonts w:asciiTheme="minorHAnsi" w:hAnsiTheme="minorHAnsi"/>
          <w:sz w:val="24"/>
          <w:szCs w:val="24"/>
        </w:rPr>
        <w:t>recording progress data</w:t>
      </w:r>
      <w:r w:rsidR="003D476E">
        <w:rPr>
          <w:rFonts w:asciiTheme="minorHAnsi" w:hAnsiTheme="minorHAnsi"/>
          <w:sz w:val="24"/>
          <w:szCs w:val="24"/>
        </w:rPr>
        <w:t>,</w:t>
      </w:r>
      <w:r w:rsidRPr="009C38FE">
        <w:rPr>
          <w:rFonts w:asciiTheme="minorHAnsi" w:hAnsiTheme="minorHAnsi"/>
          <w:sz w:val="24"/>
          <w:szCs w:val="24"/>
        </w:rPr>
        <w:t xml:space="preserve"> mean that there will be a variety of ways in which progress towards outcomes is recorded and evidenced.  </w:t>
      </w:r>
      <w:r>
        <w:rPr>
          <w:rFonts w:asciiTheme="minorHAnsi" w:hAnsiTheme="minorHAnsi"/>
          <w:sz w:val="24"/>
          <w:szCs w:val="24"/>
        </w:rPr>
        <w:t>P</w:t>
      </w:r>
      <w:r w:rsidRPr="009C38FE">
        <w:rPr>
          <w:rFonts w:asciiTheme="minorHAnsi" w:hAnsiTheme="minorHAnsi"/>
          <w:sz w:val="24"/>
          <w:szCs w:val="24"/>
        </w:rPr>
        <w:t xml:space="preserve">rogress information in any format </w:t>
      </w:r>
      <w:r>
        <w:rPr>
          <w:rFonts w:asciiTheme="minorHAnsi" w:hAnsiTheme="minorHAnsi"/>
          <w:sz w:val="24"/>
          <w:szCs w:val="24"/>
        </w:rPr>
        <w:t>is welcome</w:t>
      </w:r>
      <w:r w:rsidR="003D476E">
        <w:rPr>
          <w:rFonts w:asciiTheme="minorHAnsi" w:hAnsiTheme="minorHAnsi"/>
          <w:sz w:val="24"/>
          <w:szCs w:val="24"/>
        </w:rPr>
        <w:t>,</w:t>
      </w:r>
      <w:r>
        <w:rPr>
          <w:rFonts w:asciiTheme="minorHAnsi" w:hAnsiTheme="minorHAnsi"/>
          <w:sz w:val="24"/>
          <w:szCs w:val="24"/>
        </w:rPr>
        <w:t xml:space="preserve"> </w:t>
      </w:r>
      <w:r w:rsidR="003D476E">
        <w:rPr>
          <w:rFonts w:asciiTheme="minorHAnsi" w:hAnsiTheme="minorHAnsi"/>
          <w:sz w:val="24"/>
          <w:szCs w:val="24"/>
        </w:rPr>
        <w:t>providing</w:t>
      </w:r>
      <w:r w:rsidRPr="009C38FE">
        <w:rPr>
          <w:rFonts w:asciiTheme="minorHAnsi" w:hAnsiTheme="minorHAnsi"/>
          <w:sz w:val="24"/>
          <w:szCs w:val="24"/>
        </w:rPr>
        <w:t xml:space="preserve"> it is clear what the rate of progress is</w:t>
      </w:r>
      <w:r>
        <w:rPr>
          <w:rFonts w:asciiTheme="minorHAnsi" w:hAnsiTheme="minorHAnsi"/>
          <w:sz w:val="24"/>
          <w:szCs w:val="24"/>
        </w:rPr>
        <w:t xml:space="preserve"> (as compared to expected progress)</w:t>
      </w:r>
      <w:r w:rsidRPr="009C38FE">
        <w:rPr>
          <w:rFonts w:asciiTheme="minorHAnsi" w:hAnsiTheme="minorHAnsi"/>
          <w:sz w:val="24"/>
          <w:szCs w:val="24"/>
        </w:rPr>
        <w:t xml:space="preserve">, what interventions have been put into place and for how long.  </w:t>
      </w:r>
      <w:r w:rsidR="00323D15">
        <w:rPr>
          <w:rFonts w:asciiTheme="minorHAnsi" w:hAnsiTheme="minorHAnsi"/>
          <w:sz w:val="24"/>
          <w:szCs w:val="24"/>
        </w:rPr>
        <w:t>Again, the Child</w:t>
      </w:r>
      <w:r>
        <w:rPr>
          <w:rFonts w:asciiTheme="minorHAnsi" w:hAnsiTheme="minorHAnsi"/>
          <w:sz w:val="24"/>
          <w:szCs w:val="24"/>
        </w:rPr>
        <w:t xml:space="preserve"> Profile from the GRSS may be useful for this purpose.  </w:t>
      </w:r>
      <w:r w:rsidRPr="009C38FE">
        <w:rPr>
          <w:rFonts w:asciiTheme="minorHAnsi" w:hAnsiTheme="minorHAnsi"/>
          <w:sz w:val="24"/>
          <w:szCs w:val="24"/>
        </w:rPr>
        <w:t xml:space="preserve">This information can </w:t>
      </w:r>
      <w:r>
        <w:rPr>
          <w:rFonts w:asciiTheme="minorHAnsi" w:hAnsiTheme="minorHAnsi"/>
          <w:sz w:val="24"/>
          <w:szCs w:val="24"/>
        </w:rPr>
        <w:t xml:space="preserve">also </w:t>
      </w:r>
      <w:r w:rsidRPr="009C38FE">
        <w:rPr>
          <w:rFonts w:asciiTheme="minorHAnsi" w:hAnsiTheme="minorHAnsi"/>
          <w:sz w:val="24"/>
          <w:szCs w:val="24"/>
        </w:rPr>
        <w:t>be captured in a My Support Plan or attached to one as additional evidence.</w:t>
      </w:r>
    </w:p>
    <w:p w:rsidR="003B4EFF" w:rsidRDefault="003B4EFF" w:rsidP="003B4EFF">
      <w:pPr>
        <w:rPr>
          <w:rFonts w:asciiTheme="minorHAnsi" w:hAnsiTheme="minorHAnsi"/>
          <w:sz w:val="24"/>
          <w:szCs w:val="24"/>
        </w:rPr>
      </w:pPr>
    </w:p>
    <w:p w:rsidR="00D71745" w:rsidRPr="00D71745" w:rsidRDefault="00D71745" w:rsidP="00D71745">
      <w:pPr>
        <w:pStyle w:val="Instruction"/>
        <w:rPr>
          <w:i/>
          <w:sz w:val="28"/>
        </w:rPr>
      </w:pPr>
      <w:r w:rsidRPr="00D71745">
        <w:rPr>
          <w:i/>
          <w:sz w:val="28"/>
        </w:rPr>
        <w:t xml:space="preserve">What criteria are used by the </w:t>
      </w:r>
      <w:r w:rsidR="003D476E">
        <w:rPr>
          <w:i/>
          <w:sz w:val="28"/>
        </w:rPr>
        <w:t>Local Authority</w:t>
      </w:r>
      <w:r w:rsidRPr="00D71745">
        <w:rPr>
          <w:i/>
          <w:sz w:val="28"/>
        </w:rPr>
        <w:t xml:space="preserve"> when considering an EHC needs assessment?</w:t>
      </w:r>
    </w:p>
    <w:p w:rsidR="002E5F27" w:rsidRDefault="009C38FE" w:rsidP="002E5F27">
      <w:pPr>
        <w:rPr>
          <w:rFonts w:asciiTheme="minorHAnsi" w:hAnsiTheme="minorHAnsi"/>
          <w:sz w:val="24"/>
          <w:szCs w:val="24"/>
        </w:rPr>
      </w:pPr>
      <w:r w:rsidRPr="009C38FE">
        <w:rPr>
          <w:rFonts w:asciiTheme="minorHAnsi" w:hAnsiTheme="minorHAnsi"/>
          <w:sz w:val="24"/>
          <w:szCs w:val="24"/>
        </w:rPr>
        <w:t xml:space="preserve">The criteria used by the local authority </w:t>
      </w:r>
      <w:r w:rsidR="003D476E">
        <w:rPr>
          <w:rFonts w:asciiTheme="minorHAnsi" w:hAnsiTheme="minorHAnsi"/>
          <w:sz w:val="24"/>
          <w:szCs w:val="24"/>
        </w:rPr>
        <w:t xml:space="preserve">(LA) </w:t>
      </w:r>
      <w:r w:rsidRPr="009C38FE">
        <w:rPr>
          <w:rFonts w:asciiTheme="minorHAnsi" w:hAnsiTheme="minorHAnsi"/>
          <w:sz w:val="24"/>
          <w:szCs w:val="24"/>
        </w:rPr>
        <w:t>to consider whether it agrees to conduct an EHC needs assessment are set out in section 9.14 of the new Special Educational Needs and Disability Code of Practice: 0-25 years</w:t>
      </w:r>
      <w:r w:rsidR="002E5F27" w:rsidRPr="002E5F27">
        <w:rPr>
          <w:rFonts w:asciiTheme="minorHAnsi" w:hAnsiTheme="minorHAnsi"/>
          <w:sz w:val="24"/>
          <w:szCs w:val="24"/>
        </w:rPr>
        <w:t xml:space="preserve"> </w:t>
      </w:r>
      <w:r w:rsidR="002E5F27">
        <w:rPr>
          <w:rFonts w:asciiTheme="minorHAnsi" w:hAnsiTheme="minorHAnsi"/>
          <w:sz w:val="24"/>
          <w:szCs w:val="24"/>
        </w:rPr>
        <w:t>and are also reflected in the Wiltshire Banding Threshold documents available via the local offer.</w:t>
      </w:r>
      <w:r w:rsidR="002E5F27" w:rsidRPr="009C38FE">
        <w:rPr>
          <w:rFonts w:asciiTheme="minorHAnsi" w:hAnsiTheme="minorHAnsi"/>
          <w:sz w:val="24"/>
          <w:szCs w:val="24"/>
        </w:rPr>
        <w:t xml:space="preserve">  </w:t>
      </w:r>
      <w:r w:rsidR="002E5F27">
        <w:rPr>
          <w:rFonts w:asciiTheme="minorHAnsi" w:hAnsiTheme="minorHAnsi"/>
          <w:sz w:val="24"/>
          <w:szCs w:val="24"/>
        </w:rPr>
        <w:t>Within Early Years, there is an expectation that a child will show delay of 40-50% in two or more areas</w:t>
      </w:r>
      <w:r w:rsidRPr="009C38FE">
        <w:rPr>
          <w:rFonts w:asciiTheme="minorHAnsi" w:hAnsiTheme="minorHAnsi"/>
          <w:sz w:val="24"/>
          <w:szCs w:val="24"/>
        </w:rPr>
        <w:t xml:space="preserve">. </w:t>
      </w:r>
    </w:p>
    <w:p w:rsidR="002E5F27" w:rsidRDefault="002E5F27">
      <w:pPr>
        <w:spacing w:after="200" w:line="276" w:lineRule="auto"/>
        <w:ind w:left="0" w:right="0"/>
        <w:rPr>
          <w:rFonts w:asciiTheme="minorHAnsi" w:hAnsiTheme="minorHAnsi"/>
          <w:sz w:val="24"/>
          <w:szCs w:val="24"/>
        </w:rPr>
      </w:pPr>
      <w:r>
        <w:rPr>
          <w:rFonts w:asciiTheme="minorHAnsi" w:hAnsiTheme="minorHAnsi"/>
          <w:sz w:val="24"/>
          <w:szCs w:val="24"/>
        </w:rPr>
        <w:br w:type="page"/>
      </w:r>
    </w:p>
    <w:p w:rsidR="00CC60F7" w:rsidRPr="002E5F27" w:rsidRDefault="009C38FE" w:rsidP="002E5F27">
      <w:pPr>
        <w:rPr>
          <w:rFonts w:asciiTheme="minorHAnsi" w:hAnsiTheme="minorHAnsi" w:cs="Arial,Bold"/>
          <w:bCs/>
          <w:sz w:val="24"/>
          <w:szCs w:val="24"/>
        </w:rPr>
      </w:pPr>
      <w:r w:rsidRPr="009C38FE">
        <w:rPr>
          <w:rFonts w:asciiTheme="minorHAnsi" w:hAnsiTheme="minorHAnsi"/>
          <w:sz w:val="24"/>
          <w:szCs w:val="24"/>
        </w:rPr>
        <w:lastRenderedPageBreak/>
        <w:t xml:space="preserve"> </w:t>
      </w:r>
      <w:r w:rsidR="003775E8">
        <w:rPr>
          <w:i/>
          <w:sz w:val="28"/>
        </w:rPr>
        <w:t>How is the assessment carried out?</w:t>
      </w:r>
    </w:p>
    <w:p w:rsidR="003775E8" w:rsidRDefault="003775E8" w:rsidP="00CC60F7">
      <w:pPr>
        <w:rPr>
          <w:rFonts w:asciiTheme="minorHAnsi" w:hAnsiTheme="minorHAnsi"/>
          <w:sz w:val="24"/>
          <w:szCs w:val="24"/>
        </w:rPr>
      </w:pPr>
      <w:r>
        <w:rPr>
          <w:rFonts w:asciiTheme="minorHAnsi" w:hAnsiTheme="minorHAnsi"/>
          <w:sz w:val="24"/>
          <w:szCs w:val="24"/>
        </w:rPr>
        <w:t xml:space="preserve">The SEND Lead Worker will arrange a </w:t>
      </w:r>
      <w:r w:rsidR="00EB12FC">
        <w:rPr>
          <w:rFonts w:asciiTheme="minorHAnsi" w:hAnsiTheme="minorHAnsi"/>
          <w:sz w:val="24"/>
          <w:szCs w:val="24"/>
        </w:rPr>
        <w:t xml:space="preserve">draft </w:t>
      </w:r>
      <w:r>
        <w:rPr>
          <w:rFonts w:asciiTheme="minorHAnsi" w:hAnsiTheme="minorHAnsi"/>
          <w:sz w:val="24"/>
          <w:szCs w:val="24"/>
        </w:rPr>
        <w:t xml:space="preserve">My Plan </w:t>
      </w:r>
      <w:r w:rsidR="00EB12FC">
        <w:rPr>
          <w:rFonts w:asciiTheme="minorHAnsi" w:hAnsiTheme="minorHAnsi"/>
          <w:b/>
          <w:sz w:val="24"/>
          <w:szCs w:val="24"/>
        </w:rPr>
        <w:t xml:space="preserve">outcomes </w:t>
      </w:r>
      <w:r w:rsidRPr="003775E8">
        <w:rPr>
          <w:rFonts w:asciiTheme="minorHAnsi" w:hAnsiTheme="minorHAnsi"/>
          <w:b/>
          <w:sz w:val="24"/>
          <w:szCs w:val="24"/>
        </w:rPr>
        <w:t>meeting</w:t>
      </w:r>
      <w:r>
        <w:rPr>
          <w:rFonts w:asciiTheme="minorHAnsi" w:hAnsiTheme="minorHAnsi"/>
          <w:sz w:val="24"/>
          <w:szCs w:val="24"/>
        </w:rPr>
        <w:t xml:space="preserve"> at the educational setting.  </w:t>
      </w:r>
      <w:r w:rsidR="00CC60F7">
        <w:rPr>
          <w:rFonts w:asciiTheme="minorHAnsi" w:hAnsiTheme="minorHAnsi"/>
          <w:sz w:val="24"/>
          <w:szCs w:val="24"/>
        </w:rPr>
        <w:t>Th</w:t>
      </w:r>
      <w:r>
        <w:rPr>
          <w:rFonts w:asciiTheme="minorHAnsi" w:hAnsiTheme="minorHAnsi"/>
          <w:sz w:val="24"/>
          <w:szCs w:val="24"/>
        </w:rPr>
        <w:t xml:space="preserve">e </w:t>
      </w:r>
      <w:r w:rsidR="00695F27">
        <w:rPr>
          <w:rFonts w:asciiTheme="minorHAnsi" w:hAnsiTheme="minorHAnsi"/>
          <w:sz w:val="24"/>
          <w:szCs w:val="24"/>
        </w:rPr>
        <w:t>SLW</w:t>
      </w:r>
      <w:r>
        <w:rPr>
          <w:rFonts w:asciiTheme="minorHAnsi" w:hAnsiTheme="minorHAnsi"/>
          <w:sz w:val="24"/>
          <w:szCs w:val="24"/>
        </w:rPr>
        <w:t xml:space="preserve"> will liaise with parents, staff, relevant professionals and the young person (where appropriate) to invite them and to discuss what further advice might be required in preparation.  The</w:t>
      </w:r>
      <w:r w:rsidR="00EB12FC">
        <w:rPr>
          <w:rFonts w:asciiTheme="minorHAnsi" w:hAnsiTheme="minorHAnsi"/>
          <w:b/>
          <w:sz w:val="24"/>
          <w:szCs w:val="24"/>
        </w:rPr>
        <w:t xml:space="preserve"> </w:t>
      </w:r>
      <w:proofErr w:type="gramStart"/>
      <w:r w:rsidR="00EB12FC">
        <w:rPr>
          <w:rFonts w:asciiTheme="minorHAnsi" w:hAnsiTheme="minorHAnsi"/>
          <w:b/>
          <w:sz w:val="24"/>
          <w:szCs w:val="24"/>
        </w:rPr>
        <w:t>outcomes</w:t>
      </w:r>
      <w:proofErr w:type="gramEnd"/>
      <w:r w:rsidRPr="002426B2">
        <w:rPr>
          <w:rFonts w:asciiTheme="minorHAnsi" w:hAnsiTheme="minorHAnsi"/>
          <w:b/>
          <w:sz w:val="24"/>
          <w:szCs w:val="24"/>
        </w:rPr>
        <w:t xml:space="preserve"> meeting</w:t>
      </w:r>
      <w:r w:rsidRPr="009C38FE">
        <w:rPr>
          <w:rFonts w:asciiTheme="minorHAnsi" w:hAnsiTheme="minorHAnsi"/>
          <w:sz w:val="24"/>
          <w:szCs w:val="24"/>
        </w:rPr>
        <w:t xml:space="preserve"> </w:t>
      </w:r>
      <w:r>
        <w:rPr>
          <w:rFonts w:asciiTheme="minorHAnsi" w:hAnsiTheme="minorHAnsi"/>
          <w:sz w:val="24"/>
          <w:szCs w:val="24"/>
        </w:rPr>
        <w:t>is l</w:t>
      </w:r>
      <w:r w:rsidRPr="009C38FE">
        <w:rPr>
          <w:rFonts w:asciiTheme="minorHAnsi" w:hAnsiTheme="minorHAnsi"/>
          <w:sz w:val="24"/>
          <w:szCs w:val="24"/>
        </w:rPr>
        <w:t xml:space="preserve">ed by the </w:t>
      </w:r>
      <w:r w:rsidR="00695F27">
        <w:rPr>
          <w:rFonts w:asciiTheme="minorHAnsi" w:hAnsiTheme="minorHAnsi"/>
          <w:sz w:val="24"/>
          <w:szCs w:val="24"/>
        </w:rPr>
        <w:t xml:space="preserve">SLW </w:t>
      </w:r>
      <w:r w:rsidRPr="009C38FE">
        <w:rPr>
          <w:rFonts w:asciiTheme="minorHAnsi" w:hAnsiTheme="minorHAnsi"/>
          <w:sz w:val="24"/>
          <w:szCs w:val="24"/>
        </w:rPr>
        <w:t xml:space="preserve">so that as much as possible of the </w:t>
      </w:r>
      <w:r>
        <w:rPr>
          <w:rFonts w:asciiTheme="minorHAnsi" w:hAnsiTheme="minorHAnsi"/>
          <w:sz w:val="24"/>
          <w:szCs w:val="24"/>
        </w:rPr>
        <w:t xml:space="preserve">My </w:t>
      </w:r>
      <w:r w:rsidRPr="009C38FE">
        <w:rPr>
          <w:rFonts w:asciiTheme="minorHAnsi" w:hAnsiTheme="minorHAnsi"/>
          <w:sz w:val="24"/>
          <w:szCs w:val="24"/>
        </w:rPr>
        <w:t xml:space="preserve">Plan wording is agreed around the table with parents, </w:t>
      </w:r>
      <w:r>
        <w:rPr>
          <w:rFonts w:asciiTheme="minorHAnsi" w:hAnsiTheme="minorHAnsi"/>
          <w:sz w:val="24"/>
          <w:szCs w:val="24"/>
        </w:rPr>
        <w:t>setting staff</w:t>
      </w:r>
      <w:r w:rsidRPr="009C38FE">
        <w:rPr>
          <w:rFonts w:asciiTheme="minorHAnsi" w:hAnsiTheme="minorHAnsi"/>
          <w:sz w:val="24"/>
          <w:szCs w:val="24"/>
        </w:rPr>
        <w:t xml:space="preserve"> and other professionals in a </w:t>
      </w:r>
      <w:r>
        <w:rPr>
          <w:rFonts w:asciiTheme="minorHAnsi" w:hAnsiTheme="minorHAnsi"/>
          <w:sz w:val="24"/>
          <w:szCs w:val="24"/>
        </w:rPr>
        <w:t xml:space="preserve">collaborative and </w:t>
      </w:r>
      <w:r w:rsidRPr="009C38FE">
        <w:rPr>
          <w:rFonts w:asciiTheme="minorHAnsi" w:hAnsiTheme="minorHAnsi"/>
          <w:sz w:val="24"/>
          <w:szCs w:val="24"/>
        </w:rPr>
        <w:t>person-centred way.</w:t>
      </w:r>
      <w:r>
        <w:rPr>
          <w:rFonts w:asciiTheme="minorHAnsi" w:hAnsiTheme="minorHAnsi"/>
          <w:sz w:val="24"/>
          <w:szCs w:val="24"/>
        </w:rPr>
        <w:t xml:space="preserve">  The meeting</w:t>
      </w:r>
      <w:r w:rsidR="00CC60F7">
        <w:rPr>
          <w:rFonts w:asciiTheme="minorHAnsi" w:hAnsiTheme="minorHAnsi"/>
          <w:sz w:val="24"/>
          <w:szCs w:val="24"/>
        </w:rPr>
        <w:t xml:space="preserve"> </w:t>
      </w:r>
      <w:r w:rsidR="003B4EFF">
        <w:rPr>
          <w:rFonts w:asciiTheme="minorHAnsi" w:hAnsiTheme="minorHAnsi"/>
          <w:sz w:val="24"/>
          <w:szCs w:val="24"/>
        </w:rPr>
        <w:t xml:space="preserve">is </w:t>
      </w:r>
      <w:r w:rsidR="00CC60F7">
        <w:rPr>
          <w:rFonts w:asciiTheme="minorHAnsi" w:hAnsiTheme="minorHAnsi"/>
          <w:sz w:val="24"/>
          <w:szCs w:val="24"/>
        </w:rPr>
        <w:t>held after the LA has made the decision to assess</w:t>
      </w:r>
      <w:r w:rsidR="003B4EFF">
        <w:rPr>
          <w:rFonts w:asciiTheme="minorHAnsi" w:hAnsiTheme="minorHAnsi"/>
          <w:sz w:val="24"/>
          <w:szCs w:val="24"/>
        </w:rPr>
        <w:t xml:space="preserve"> or not</w:t>
      </w:r>
      <w:r w:rsidR="00CC60F7">
        <w:rPr>
          <w:rFonts w:asciiTheme="minorHAnsi" w:hAnsiTheme="minorHAnsi"/>
          <w:sz w:val="24"/>
          <w:szCs w:val="24"/>
        </w:rPr>
        <w:t>.</w:t>
      </w:r>
      <w:r>
        <w:rPr>
          <w:rFonts w:asciiTheme="minorHAnsi" w:hAnsiTheme="minorHAnsi"/>
          <w:sz w:val="24"/>
          <w:szCs w:val="24"/>
        </w:rPr>
        <w:t xml:space="preserve">  </w:t>
      </w:r>
      <w:r w:rsidR="00CC60F7">
        <w:rPr>
          <w:rFonts w:asciiTheme="minorHAnsi" w:hAnsiTheme="minorHAnsi"/>
          <w:sz w:val="24"/>
          <w:szCs w:val="24"/>
        </w:rPr>
        <w:t>If the LA does not agree to the assessment, then the meeting will be used to explain this decision and plan next steps.</w:t>
      </w:r>
    </w:p>
    <w:p w:rsidR="003775E8" w:rsidRDefault="003775E8" w:rsidP="00CC60F7">
      <w:pPr>
        <w:rPr>
          <w:rFonts w:asciiTheme="minorHAnsi" w:hAnsiTheme="minorHAnsi"/>
          <w:sz w:val="24"/>
          <w:szCs w:val="24"/>
        </w:rPr>
      </w:pPr>
    </w:p>
    <w:p w:rsidR="00910E36" w:rsidRPr="00910E36" w:rsidRDefault="00910E36" w:rsidP="00910E36">
      <w:pPr>
        <w:pStyle w:val="Instruction"/>
        <w:rPr>
          <w:i/>
          <w:sz w:val="28"/>
        </w:rPr>
      </w:pPr>
      <w:r w:rsidRPr="00910E36">
        <w:rPr>
          <w:i/>
          <w:sz w:val="28"/>
        </w:rPr>
        <w:t>What happens when the assessment is complete?</w:t>
      </w:r>
    </w:p>
    <w:p w:rsidR="00CC60F7" w:rsidRDefault="00910E36" w:rsidP="00CC60F7">
      <w:pPr>
        <w:rPr>
          <w:rFonts w:asciiTheme="minorHAnsi" w:hAnsiTheme="minorHAnsi"/>
          <w:sz w:val="24"/>
          <w:szCs w:val="24"/>
        </w:rPr>
      </w:pPr>
      <w:r>
        <w:rPr>
          <w:rFonts w:asciiTheme="minorHAnsi" w:hAnsiTheme="minorHAnsi"/>
          <w:sz w:val="24"/>
          <w:szCs w:val="24"/>
        </w:rPr>
        <w:t xml:space="preserve">The procedure is largely unchanged from the previous system.  </w:t>
      </w:r>
      <w:r w:rsidR="003775E8">
        <w:rPr>
          <w:rFonts w:asciiTheme="minorHAnsi" w:hAnsiTheme="minorHAnsi"/>
          <w:sz w:val="24"/>
          <w:szCs w:val="24"/>
        </w:rPr>
        <w:t xml:space="preserve">After the </w:t>
      </w:r>
      <w:r>
        <w:rPr>
          <w:rFonts w:asciiTheme="minorHAnsi" w:hAnsiTheme="minorHAnsi"/>
          <w:sz w:val="24"/>
          <w:szCs w:val="24"/>
        </w:rPr>
        <w:t>meeting and once all evidence has been received,</w:t>
      </w:r>
      <w:r w:rsidR="003775E8">
        <w:rPr>
          <w:rFonts w:asciiTheme="minorHAnsi" w:hAnsiTheme="minorHAnsi"/>
          <w:sz w:val="24"/>
          <w:szCs w:val="24"/>
        </w:rPr>
        <w:t xml:space="preserve"> the SEND Lead Worker will write the draft plan and pass it to the SEN panel for a deci</w:t>
      </w:r>
      <w:r w:rsidR="003B4EFF">
        <w:rPr>
          <w:rFonts w:asciiTheme="minorHAnsi" w:hAnsiTheme="minorHAnsi"/>
          <w:sz w:val="24"/>
          <w:szCs w:val="24"/>
        </w:rPr>
        <w:t>sion about whether to issue and, if agreed, the type of provision</w:t>
      </w:r>
      <w:r w:rsidR="003775E8">
        <w:rPr>
          <w:rFonts w:asciiTheme="minorHAnsi" w:hAnsiTheme="minorHAnsi"/>
          <w:sz w:val="24"/>
          <w:szCs w:val="24"/>
        </w:rPr>
        <w:t xml:space="preserve">.  </w:t>
      </w:r>
      <w:r>
        <w:rPr>
          <w:rFonts w:asciiTheme="minorHAnsi" w:hAnsiTheme="minorHAnsi"/>
          <w:sz w:val="24"/>
          <w:szCs w:val="24"/>
        </w:rPr>
        <w:t>If the LA agrees to issue, the draft My Plan</w:t>
      </w:r>
      <w:r w:rsidR="003775E8">
        <w:rPr>
          <w:rFonts w:asciiTheme="minorHAnsi" w:hAnsiTheme="minorHAnsi"/>
          <w:sz w:val="24"/>
          <w:szCs w:val="24"/>
        </w:rPr>
        <w:t xml:space="preserve"> is sent out for consultation with pa</w:t>
      </w:r>
      <w:r>
        <w:rPr>
          <w:rFonts w:asciiTheme="minorHAnsi" w:hAnsiTheme="minorHAnsi"/>
          <w:sz w:val="24"/>
          <w:szCs w:val="24"/>
        </w:rPr>
        <w:t>rents and/or the young person who may comment a</w:t>
      </w:r>
      <w:r w:rsidR="00EB12FC">
        <w:rPr>
          <w:rFonts w:asciiTheme="minorHAnsi" w:hAnsiTheme="minorHAnsi"/>
          <w:sz w:val="24"/>
          <w:szCs w:val="24"/>
        </w:rPr>
        <w:t>nd name a school</w:t>
      </w:r>
      <w:r>
        <w:rPr>
          <w:rFonts w:asciiTheme="minorHAnsi" w:hAnsiTheme="minorHAnsi"/>
          <w:sz w:val="24"/>
          <w:szCs w:val="24"/>
        </w:rPr>
        <w:t>.  This is then sent ou</w:t>
      </w:r>
      <w:r w:rsidR="00EB12FC">
        <w:rPr>
          <w:rFonts w:asciiTheme="minorHAnsi" w:hAnsiTheme="minorHAnsi"/>
          <w:sz w:val="24"/>
          <w:szCs w:val="24"/>
        </w:rPr>
        <w:t>t to the named school</w:t>
      </w:r>
      <w:r>
        <w:rPr>
          <w:rFonts w:asciiTheme="minorHAnsi" w:hAnsiTheme="minorHAnsi"/>
          <w:sz w:val="24"/>
          <w:szCs w:val="24"/>
        </w:rPr>
        <w:t xml:space="preserve"> who can respond to being named in the plan before the My Plan is finalised and sent out.</w:t>
      </w:r>
    </w:p>
    <w:p w:rsidR="003B4EFF" w:rsidRDefault="003B4EFF" w:rsidP="00CC60F7">
      <w:pPr>
        <w:rPr>
          <w:rFonts w:asciiTheme="minorHAnsi" w:hAnsiTheme="minorHAnsi"/>
          <w:sz w:val="24"/>
          <w:szCs w:val="24"/>
        </w:rPr>
      </w:pPr>
    </w:p>
    <w:p w:rsidR="003B4EFF" w:rsidRPr="003B4EFF" w:rsidRDefault="003B4EFF" w:rsidP="003B4EFF">
      <w:pPr>
        <w:pStyle w:val="Instruction"/>
        <w:rPr>
          <w:i/>
          <w:sz w:val="28"/>
        </w:rPr>
      </w:pPr>
      <w:r w:rsidRPr="003B4EFF">
        <w:rPr>
          <w:i/>
          <w:sz w:val="28"/>
        </w:rPr>
        <w:t>What are the timescales?</w:t>
      </w:r>
    </w:p>
    <w:p w:rsidR="003B4EFF" w:rsidRDefault="003B4EFF" w:rsidP="00CC60F7">
      <w:pPr>
        <w:rPr>
          <w:rFonts w:asciiTheme="minorHAnsi" w:hAnsiTheme="minorHAnsi"/>
          <w:sz w:val="24"/>
          <w:szCs w:val="24"/>
        </w:rPr>
      </w:pPr>
      <w:r>
        <w:rPr>
          <w:rFonts w:asciiTheme="minorHAnsi" w:hAnsiTheme="minorHAnsi"/>
          <w:sz w:val="24"/>
          <w:szCs w:val="24"/>
        </w:rPr>
        <w:t xml:space="preserve">The LA has 20 weeks from the time the request is received until the final My Plan is issued.  Detailed timescales for each stage are set out in </w:t>
      </w:r>
      <w:hyperlink w:anchor="In_App_b_timescales" w:tooltip="Go to timescales" w:history="1">
        <w:r w:rsidRPr="003B4EFF">
          <w:rPr>
            <w:rStyle w:val="Hyperlink"/>
            <w:rFonts w:asciiTheme="minorHAnsi" w:hAnsiTheme="minorHAnsi"/>
            <w:sz w:val="24"/>
            <w:szCs w:val="24"/>
          </w:rPr>
          <w:t>appendix b.</w:t>
        </w:r>
      </w:hyperlink>
    </w:p>
    <w:p w:rsidR="00D71745" w:rsidRPr="009C38FE" w:rsidRDefault="00D71745" w:rsidP="009C38FE">
      <w:pPr>
        <w:rPr>
          <w:rFonts w:asciiTheme="minorHAnsi" w:hAnsiTheme="minorHAnsi"/>
          <w:sz w:val="24"/>
          <w:szCs w:val="24"/>
        </w:rPr>
      </w:pPr>
    </w:p>
    <w:p w:rsidR="002426B2" w:rsidRDefault="002426B2">
      <w:pPr>
        <w:spacing w:after="200" w:line="276" w:lineRule="auto"/>
        <w:ind w:left="0" w:right="0"/>
        <w:rPr>
          <w:rFonts w:asciiTheme="minorHAnsi" w:hAnsiTheme="minorHAnsi"/>
          <w:sz w:val="24"/>
          <w:szCs w:val="24"/>
          <w:highlight w:val="yellow"/>
        </w:rPr>
      </w:pPr>
      <w:r>
        <w:rPr>
          <w:rFonts w:asciiTheme="minorHAnsi" w:hAnsiTheme="minorHAnsi"/>
          <w:sz w:val="24"/>
          <w:szCs w:val="24"/>
          <w:highlight w:val="yellow"/>
        </w:rPr>
        <w:br w:type="page"/>
      </w:r>
    </w:p>
    <w:p w:rsidR="009C38FE" w:rsidRPr="009C38FE" w:rsidRDefault="009C38FE" w:rsidP="002426B2">
      <w:pPr>
        <w:pStyle w:val="HeaderTitle0"/>
      </w:pPr>
      <w:bookmarkStart w:id="18" w:name="annualreviews"/>
      <w:r w:rsidRPr="009C38FE">
        <w:lastRenderedPageBreak/>
        <w:t>Annual reviews</w:t>
      </w:r>
    </w:p>
    <w:bookmarkEnd w:id="18"/>
    <w:p w:rsidR="009C38FE" w:rsidRPr="009C38FE" w:rsidRDefault="009C38FE" w:rsidP="009C38FE">
      <w:pPr>
        <w:rPr>
          <w:rFonts w:asciiTheme="minorHAnsi" w:hAnsiTheme="minorHAnsi"/>
          <w:sz w:val="24"/>
          <w:szCs w:val="24"/>
        </w:rPr>
      </w:pPr>
    </w:p>
    <w:p w:rsidR="009C38FE" w:rsidRDefault="009C38FE" w:rsidP="009C38FE">
      <w:pPr>
        <w:rPr>
          <w:rFonts w:asciiTheme="minorHAnsi" w:hAnsiTheme="minorHAnsi"/>
          <w:sz w:val="24"/>
          <w:szCs w:val="24"/>
        </w:rPr>
      </w:pPr>
      <w:r w:rsidRPr="009C38FE">
        <w:rPr>
          <w:rFonts w:asciiTheme="minorHAnsi" w:hAnsiTheme="minorHAnsi"/>
          <w:sz w:val="24"/>
          <w:szCs w:val="24"/>
        </w:rPr>
        <w:t>Over a 3 year period statements of SEN will be changed into Education and Health Care Plans (</w:t>
      </w:r>
      <w:r w:rsidR="005003D5">
        <w:rPr>
          <w:rFonts w:asciiTheme="minorHAnsi" w:hAnsiTheme="minorHAnsi"/>
          <w:sz w:val="24"/>
          <w:szCs w:val="24"/>
        </w:rPr>
        <w:t xml:space="preserve">known as </w:t>
      </w:r>
      <w:r w:rsidR="003D476E">
        <w:rPr>
          <w:rFonts w:asciiTheme="minorHAnsi" w:hAnsiTheme="minorHAnsi"/>
          <w:sz w:val="24"/>
          <w:szCs w:val="24"/>
        </w:rPr>
        <w:t>‘</w:t>
      </w:r>
      <w:r w:rsidRPr="009C38FE">
        <w:rPr>
          <w:rFonts w:asciiTheme="minorHAnsi" w:hAnsiTheme="minorHAnsi"/>
          <w:sz w:val="24"/>
          <w:szCs w:val="24"/>
        </w:rPr>
        <w:t>My Plans</w:t>
      </w:r>
      <w:r w:rsidR="003D476E">
        <w:rPr>
          <w:rFonts w:asciiTheme="minorHAnsi" w:hAnsiTheme="minorHAnsi"/>
          <w:sz w:val="24"/>
          <w:szCs w:val="24"/>
        </w:rPr>
        <w:t>’</w:t>
      </w:r>
      <w:r w:rsidR="005003D5">
        <w:rPr>
          <w:rFonts w:asciiTheme="minorHAnsi" w:hAnsiTheme="minorHAnsi"/>
          <w:sz w:val="24"/>
          <w:szCs w:val="24"/>
        </w:rPr>
        <w:t xml:space="preserve"> in Wiltshire</w:t>
      </w:r>
      <w:r w:rsidRPr="009C38FE">
        <w:rPr>
          <w:rFonts w:asciiTheme="minorHAnsi" w:hAnsiTheme="minorHAnsi"/>
          <w:sz w:val="24"/>
          <w:szCs w:val="24"/>
        </w:rPr>
        <w:t xml:space="preserve">). </w:t>
      </w:r>
      <w:r w:rsidR="00716F3E">
        <w:rPr>
          <w:rFonts w:asciiTheme="minorHAnsi" w:hAnsiTheme="minorHAnsi"/>
          <w:sz w:val="24"/>
          <w:szCs w:val="24"/>
        </w:rPr>
        <w:t xml:space="preserve"> </w:t>
      </w:r>
      <w:r w:rsidRPr="009C38FE">
        <w:rPr>
          <w:rFonts w:asciiTheme="minorHAnsi" w:hAnsiTheme="minorHAnsi"/>
          <w:sz w:val="24"/>
          <w:szCs w:val="24"/>
        </w:rPr>
        <w:t>This</w:t>
      </w:r>
      <w:r w:rsidR="00716F3E">
        <w:rPr>
          <w:rFonts w:asciiTheme="minorHAnsi" w:hAnsiTheme="minorHAnsi"/>
          <w:sz w:val="24"/>
          <w:szCs w:val="24"/>
        </w:rPr>
        <w:t xml:space="preserve"> process</w:t>
      </w:r>
      <w:r w:rsidRPr="009C38FE">
        <w:rPr>
          <w:rFonts w:asciiTheme="minorHAnsi" w:hAnsiTheme="minorHAnsi"/>
          <w:sz w:val="24"/>
          <w:szCs w:val="24"/>
        </w:rPr>
        <w:t xml:space="preserve"> </w:t>
      </w:r>
      <w:r w:rsidR="000C0DFB">
        <w:rPr>
          <w:rFonts w:asciiTheme="minorHAnsi" w:hAnsiTheme="minorHAnsi"/>
          <w:sz w:val="24"/>
          <w:szCs w:val="24"/>
        </w:rPr>
        <w:t>is</w:t>
      </w:r>
      <w:r w:rsidRPr="009C38FE">
        <w:rPr>
          <w:rFonts w:asciiTheme="minorHAnsi" w:hAnsiTheme="minorHAnsi"/>
          <w:sz w:val="24"/>
          <w:szCs w:val="24"/>
        </w:rPr>
        <w:t xml:space="preserve"> set out in more detail in </w:t>
      </w:r>
      <w:r w:rsidR="000C0DFB">
        <w:rPr>
          <w:rFonts w:asciiTheme="minorHAnsi" w:hAnsiTheme="minorHAnsi"/>
          <w:sz w:val="24"/>
          <w:szCs w:val="24"/>
        </w:rPr>
        <w:t>the</w:t>
      </w:r>
      <w:r w:rsidRPr="009C38FE">
        <w:rPr>
          <w:rFonts w:asciiTheme="minorHAnsi" w:hAnsiTheme="minorHAnsi"/>
          <w:sz w:val="24"/>
          <w:szCs w:val="24"/>
        </w:rPr>
        <w:t xml:space="preserve"> local authority transition </w:t>
      </w:r>
      <w:r w:rsidR="00437886">
        <w:rPr>
          <w:rFonts w:asciiTheme="minorHAnsi" w:hAnsiTheme="minorHAnsi"/>
          <w:sz w:val="24"/>
          <w:szCs w:val="24"/>
        </w:rPr>
        <w:t>timetable</w:t>
      </w:r>
      <w:r w:rsidR="000C0DFB">
        <w:rPr>
          <w:rFonts w:asciiTheme="minorHAnsi" w:hAnsiTheme="minorHAnsi"/>
          <w:sz w:val="24"/>
          <w:szCs w:val="24"/>
        </w:rPr>
        <w:t xml:space="preserve"> (published on the Local Offer website for families</w:t>
      </w:r>
      <w:r w:rsidR="000C0DFB" w:rsidRPr="00DF093C">
        <w:rPr>
          <w:rFonts w:asciiTheme="minorHAnsi" w:hAnsiTheme="minorHAnsi"/>
          <w:sz w:val="24"/>
          <w:szCs w:val="24"/>
        </w:rPr>
        <w:t>)</w:t>
      </w:r>
      <w:r w:rsidRPr="00DF093C">
        <w:rPr>
          <w:rFonts w:asciiTheme="minorHAnsi" w:hAnsiTheme="minorHAnsi"/>
          <w:sz w:val="24"/>
          <w:szCs w:val="24"/>
        </w:rPr>
        <w:t>.</w:t>
      </w:r>
      <w:r w:rsidRPr="009C38FE">
        <w:rPr>
          <w:rFonts w:asciiTheme="minorHAnsi" w:hAnsiTheme="minorHAnsi"/>
          <w:sz w:val="24"/>
          <w:szCs w:val="24"/>
        </w:rPr>
        <w:t xml:space="preserve">  </w:t>
      </w:r>
      <w:r w:rsidR="00716F3E">
        <w:rPr>
          <w:rFonts w:asciiTheme="minorHAnsi" w:hAnsiTheme="minorHAnsi"/>
          <w:sz w:val="24"/>
          <w:szCs w:val="24"/>
        </w:rPr>
        <w:t>Scho</w:t>
      </w:r>
      <w:r w:rsidR="00EB12FC">
        <w:rPr>
          <w:rFonts w:asciiTheme="minorHAnsi" w:hAnsiTheme="minorHAnsi"/>
          <w:sz w:val="24"/>
          <w:szCs w:val="24"/>
        </w:rPr>
        <w:t>ols</w:t>
      </w:r>
      <w:r w:rsidR="00716F3E">
        <w:rPr>
          <w:rFonts w:asciiTheme="minorHAnsi" w:hAnsiTheme="minorHAnsi"/>
          <w:sz w:val="24"/>
          <w:szCs w:val="24"/>
        </w:rPr>
        <w:t xml:space="preserve"> and settings</w:t>
      </w:r>
      <w:r w:rsidRPr="009C38FE">
        <w:rPr>
          <w:rFonts w:asciiTheme="minorHAnsi" w:hAnsiTheme="minorHAnsi"/>
          <w:sz w:val="24"/>
          <w:szCs w:val="24"/>
        </w:rPr>
        <w:t xml:space="preserve"> will be informed by the SEND Lead Worker working with the family whether the next annual review will be a continuation of a statement or a </w:t>
      </w:r>
      <w:r w:rsidR="000C0DFB">
        <w:rPr>
          <w:rFonts w:asciiTheme="minorHAnsi" w:hAnsiTheme="minorHAnsi"/>
          <w:sz w:val="24"/>
          <w:szCs w:val="24"/>
        </w:rPr>
        <w:t xml:space="preserve">‘transfer review’ to </w:t>
      </w:r>
      <w:r w:rsidR="003D476E">
        <w:rPr>
          <w:rFonts w:asciiTheme="minorHAnsi" w:hAnsiTheme="minorHAnsi"/>
          <w:sz w:val="24"/>
          <w:szCs w:val="24"/>
        </w:rPr>
        <w:t>transfer to a</w:t>
      </w:r>
      <w:r w:rsidRPr="009C38FE">
        <w:rPr>
          <w:rFonts w:asciiTheme="minorHAnsi" w:hAnsiTheme="minorHAnsi"/>
          <w:sz w:val="24"/>
          <w:szCs w:val="24"/>
        </w:rPr>
        <w:t xml:space="preserve"> </w:t>
      </w:r>
      <w:r w:rsidR="005003D5">
        <w:rPr>
          <w:rFonts w:asciiTheme="minorHAnsi" w:hAnsiTheme="minorHAnsi"/>
          <w:sz w:val="24"/>
          <w:szCs w:val="24"/>
        </w:rPr>
        <w:t xml:space="preserve">My </w:t>
      </w:r>
      <w:r w:rsidRPr="009C38FE">
        <w:rPr>
          <w:rFonts w:asciiTheme="minorHAnsi" w:hAnsiTheme="minorHAnsi"/>
          <w:sz w:val="24"/>
          <w:szCs w:val="24"/>
        </w:rPr>
        <w:t>Plan</w:t>
      </w:r>
      <w:r w:rsidR="005003D5">
        <w:rPr>
          <w:rFonts w:asciiTheme="minorHAnsi" w:hAnsiTheme="minorHAnsi"/>
          <w:sz w:val="24"/>
          <w:szCs w:val="24"/>
        </w:rPr>
        <w:t xml:space="preserve">.  </w:t>
      </w:r>
      <w:r w:rsidR="000C0DFB">
        <w:rPr>
          <w:rFonts w:asciiTheme="minorHAnsi" w:hAnsiTheme="minorHAnsi"/>
          <w:sz w:val="24"/>
          <w:szCs w:val="24"/>
        </w:rPr>
        <w:t xml:space="preserve">Parents can request an early transfer to </w:t>
      </w:r>
      <w:r w:rsidR="005003D5">
        <w:rPr>
          <w:rFonts w:asciiTheme="minorHAnsi" w:hAnsiTheme="minorHAnsi"/>
          <w:sz w:val="24"/>
          <w:szCs w:val="24"/>
        </w:rPr>
        <w:t>a My P</w:t>
      </w:r>
      <w:r w:rsidR="000C0DFB">
        <w:rPr>
          <w:rFonts w:asciiTheme="minorHAnsi" w:hAnsiTheme="minorHAnsi"/>
          <w:sz w:val="24"/>
          <w:szCs w:val="24"/>
        </w:rPr>
        <w:t xml:space="preserve">lan outside of the </w:t>
      </w:r>
      <w:r w:rsidR="00437886">
        <w:rPr>
          <w:rFonts w:asciiTheme="minorHAnsi" w:hAnsiTheme="minorHAnsi"/>
          <w:sz w:val="24"/>
          <w:szCs w:val="24"/>
        </w:rPr>
        <w:t xml:space="preserve">transition </w:t>
      </w:r>
      <w:r w:rsidR="000C0DFB">
        <w:rPr>
          <w:rFonts w:asciiTheme="minorHAnsi" w:hAnsiTheme="minorHAnsi"/>
          <w:sz w:val="24"/>
          <w:szCs w:val="24"/>
        </w:rPr>
        <w:t xml:space="preserve">timetable by contacting their SEND Lead Worker or telephoning the Single Point of Contact (SPOC </w:t>
      </w:r>
      <w:r w:rsidR="000C0DFB" w:rsidRPr="000C0DFB">
        <w:rPr>
          <w:rFonts w:asciiTheme="minorHAnsi" w:hAnsiTheme="minorHAnsi"/>
          <w:sz w:val="24"/>
        </w:rPr>
        <w:t>01225 75798</w:t>
      </w:r>
      <w:r w:rsidR="000C0DFB">
        <w:rPr>
          <w:rFonts w:asciiTheme="minorHAnsi" w:hAnsiTheme="minorHAnsi"/>
          <w:sz w:val="24"/>
        </w:rPr>
        <w:t xml:space="preserve">5).  </w:t>
      </w:r>
    </w:p>
    <w:p w:rsidR="000C0DFB" w:rsidRPr="009C38FE" w:rsidRDefault="000C0DFB" w:rsidP="009C38FE">
      <w:pPr>
        <w:rPr>
          <w:rFonts w:asciiTheme="minorHAnsi" w:hAnsiTheme="minorHAnsi"/>
          <w:sz w:val="24"/>
          <w:szCs w:val="24"/>
        </w:rPr>
      </w:pPr>
    </w:p>
    <w:p w:rsidR="009C38FE" w:rsidRPr="009C38FE" w:rsidRDefault="009C38FE" w:rsidP="009C38FE">
      <w:pPr>
        <w:rPr>
          <w:rFonts w:asciiTheme="minorHAnsi" w:hAnsiTheme="minorHAnsi"/>
          <w:sz w:val="24"/>
          <w:szCs w:val="24"/>
        </w:rPr>
      </w:pPr>
      <w:r w:rsidRPr="009C38FE">
        <w:rPr>
          <w:rFonts w:asciiTheme="minorHAnsi" w:hAnsiTheme="minorHAnsi"/>
          <w:sz w:val="24"/>
          <w:szCs w:val="24"/>
        </w:rPr>
        <w:t xml:space="preserve">It is not anticipated that transfer from a statement to </w:t>
      </w:r>
      <w:r w:rsidR="005003D5">
        <w:rPr>
          <w:rFonts w:asciiTheme="minorHAnsi" w:hAnsiTheme="minorHAnsi"/>
          <w:sz w:val="24"/>
          <w:szCs w:val="24"/>
        </w:rPr>
        <w:t>My Plan</w:t>
      </w:r>
      <w:r w:rsidRPr="009C38FE">
        <w:rPr>
          <w:rFonts w:asciiTheme="minorHAnsi" w:hAnsiTheme="minorHAnsi"/>
          <w:sz w:val="24"/>
          <w:szCs w:val="24"/>
        </w:rPr>
        <w:t xml:space="preserve"> will be lengthy or bureaucratic.  In most cases the information from the current statement will form the basis of the </w:t>
      </w:r>
      <w:r w:rsidR="00437886">
        <w:rPr>
          <w:rFonts w:asciiTheme="minorHAnsi" w:hAnsiTheme="minorHAnsi"/>
          <w:sz w:val="24"/>
          <w:szCs w:val="24"/>
        </w:rPr>
        <w:t xml:space="preserve">My </w:t>
      </w:r>
      <w:r w:rsidRPr="009C38FE">
        <w:rPr>
          <w:rFonts w:asciiTheme="minorHAnsi" w:hAnsiTheme="minorHAnsi"/>
          <w:sz w:val="24"/>
          <w:szCs w:val="24"/>
        </w:rPr>
        <w:t xml:space="preserve">Plan.  </w:t>
      </w:r>
      <w:r w:rsidR="000C0DFB">
        <w:rPr>
          <w:rFonts w:asciiTheme="minorHAnsi" w:hAnsiTheme="minorHAnsi"/>
          <w:sz w:val="24"/>
          <w:szCs w:val="24"/>
        </w:rPr>
        <w:t>There is no requirement</w:t>
      </w:r>
      <w:r w:rsidRPr="009C38FE">
        <w:rPr>
          <w:rFonts w:asciiTheme="minorHAnsi" w:hAnsiTheme="minorHAnsi"/>
          <w:sz w:val="24"/>
          <w:szCs w:val="24"/>
        </w:rPr>
        <w:t xml:space="preserve"> to seek any additional advice other than that which would have </w:t>
      </w:r>
      <w:r w:rsidR="000C0DFB">
        <w:rPr>
          <w:rFonts w:asciiTheme="minorHAnsi" w:hAnsiTheme="minorHAnsi"/>
          <w:sz w:val="24"/>
          <w:szCs w:val="24"/>
        </w:rPr>
        <w:t xml:space="preserve">been </w:t>
      </w:r>
      <w:r w:rsidRPr="009C38FE">
        <w:rPr>
          <w:rFonts w:asciiTheme="minorHAnsi" w:hAnsiTheme="minorHAnsi"/>
          <w:sz w:val="24"/>
          <w:szCs w:val="24"/>
        </w:rPr>
        <w:t>sought anyway for the purposes of the annual review.  The main changes are associated with providing a holistic picture of needs together with clear expected outcomes.</w:t>
      </w:r>
    </w:p>
    <w:p w:rsidR="009C38FE" w:rsidRPr="009C38FE" w:rsidRDefault="009C38FE" w:rsidP="009C38FE">
      <w:pPr>
        <w:rPr>
          <w:rFonts w:asciiTheme="minorHAnsi" w:hAnsiTheme="minorHAnsi"/>
          <w:sz w:val="24"/>
          <w:szCs w:val="24"/>
        </w:rPr>
      </w:pPr>
    </w:p>
    <w:p w:rsidR="009C38FE" w:rsidRPr="00FB4DCA" w:rsidRDefault="009C38FE" w:rsidP="009C38FE">
      <w:pPr>
        <w:rPr>
          <w:rFonts w:asciiTheme="minorHAnsi" w:hAnsiTheme="minorHAnsi"/>
          <w:sz w:val="24"/>
          <w:szCs w:val="24"/>
        </w:rPr>
      </w:pPr>
      <w:r w:rsidRPr="00FB4DCA">
        <w:rPr>
          <w:rFonts w:asciiTheme="minorHAnsi" w:hAnsiTheme="minorHAnsi"/>
          <w:sz w:val="24"/>
          <w:szCs w:val="24"/>
        </w:rPr>
        <w:t xml:space="preserve">The annual review documentation </w:t>
      </w:r>
      <w:r w:rsidR="008C12DA">
        <w:rPr>
          <w:rFonts w:asciiTheme="minorHAnsi" w:hAnsiTheme="minorHAnsi"/>
          <w:sz w:val="24"/>
          <w:szCs w:val="24"/>
        </w:rPr>
        <w:t>has been</w:t>
      </w:r>
      <w:r w:rsidR="003D476E">
        <w:rPr>
          <w:rFonts w:asciiTheme="minorHAnsi" w:hAnsiTheme="minorHAnsi"/>
          <w:sz w:val="24"/>
          <w:szCs w:val="24"/>
        </w:rPr>
        <w:t xml:space="preserve"> revised </w:t>
      </w:r>
      <w:r w:rsidRPr="00FB4DCA">
        <w:rPr>
          <w:rFonts w:asciiTheme="minorHAnsi" w:hAnsiTheme="minorHAnsi"/>
          <w:sz w:val="24"/>
          <w:szCs w:val="24"/>
        </w:rPr>
        <w:t xml:space="preserve">in line </w:t>
      </w:r>
      <w:r w:rsidR="004F66EA" w:rsidRPr="00FB4DCA">
        <w:rPr>
          <w:rFonts w:asciiTheme="minorHAnsi" w:hAnsiTheme="minorHAnsi"/>
          <w:sz w:val="24"/>
          <w:szCs w:val="24"/>
        </w:rPr>
        <w:t>with the new Code of Practice</w:t>
      </w:r>
      <w:r w:rsidR="008C12DA">
        <w:rPr>
          <w:rFonts w:asciiTheme="minorHAnsi" w:hAnsiTheme="minorHAnsi"/>
          <w:sz w:val="24"/>
          <w:szCs w:val="24"/>
        </w:rPr>
        <w:t>.  S</w:t>
      </w:r>
      <w:r w:rsidR="00FB4DCA">
        <w:rPr>
          <w:rFonts w:asciiTheme="minorHAnsi" w:hAnsiTheme="minorHAnsi"/>
          <w:sz w:val="24"/>
          <w:szCs w:val="24"/>
        </w:rPr>
        <w:t>chools and settings may decide on the most appropriate paperwork to use depending on the style of review.  Where the child or young person has a statement and a review is being held in the ‘old’ format, continue to use the pre-2014 paperwork.  Where a person-centred review is being held, use the new review paperwork, regardless of whether the child or young person has a statement or a My Plan.</w:t>
      </w:r>
    </w:p>
    <w:p w:rsidR="000C0DFB" w:rsidRDefault="000C0DFB" w:rsidP="009C38FE">
      <w:pPr>
        <w:rPr>
          <w:rFonts w:asciiTheme="minorHAnsi" w:hAnsiTheme="minorHAnsi"/>
          <w:sz w:val="24"/>
          <w:szCs w:val="24"/>
        </w:rPr>
      </w:pPr>
    </w:p>
    <w:p w:rsidR="009C38FE" w:rsidRDefault="009C38FE" w:rsidP="009C38FE">
      <w:pPr>
        <w:rPr>
          <w:rFonts w:ascii="Arial" w:hAnsi="Arial"/>
        </w:rPr>
      </w:pPr>
    </w:p>
    <w:p w:rsidR="008237DA" w:rsidRDefault="008237DA">
      <w:pPr>
        <w:spacing w:after="200" w:line="276" w:lineRule="auto"/>
        <w:ind w:left="0" w:right="0"/>
        <w:sectPr w:rsidR="008237DA" w:rsidSect="006F7525">
          <w:headerReference w:type="default" r:id="rId27"/>
          <w:pgSz w:w="11906" w:h="16838"/>
          <w:pgMar w:top="1440" w:right="1274" w:bottom="1440" w:left="993" w:header="708" w:footer="422" w:gutter="0"/>
          <w:cols w:space="708"/>
          <w:docGrid w:linePitch="360"/>
        </w:sectPr>
      </w:pPr>
    </w:p>
    <w:p w:rsidR="00CA653F" w:rsidRPr="0009614E" w:rsidRDefault="00CA653F" w:rsidP="0009614E">
      <w:pPr>
        <w:spacing w:after="200" w:line="276" w:lineRule="auto"/>
        <w:ind w:left="0" w:right="0"/>
        <w:rPr>
          <w:rFonts w:eastAsiaTheme="minorHAnsi" w:cstheme="minorBidi"/>
          <w:noProof/>
          <w:sz w:val="40"/>
          <w:szCs w:val="22"/>
          <w:lang w:val="en-US" w:eastAsia="en-US"/>
        </w:rPr>
      </w:pPr>
    </w:p>
    <w:p w:rsidR="00F62B7A" w:rsidRPr="00996AF1" w:rsidRDefault="00F62B7A" w:rsidP="000B7696">
      <w:pPr>
        <w:ind w:left="76" w:right="141"/>
        <w:rPr>
          <w:iCs/>
          <w:sz w:val="24"/>
          <w:szCs w:val="24"/>
        </w:rPr>
      </w:pPr>
    </w:p>
    <w:p w:rsidR="00CA653F" w:rsidRDefault="00CA653F">
      <w:pPr>
        <w:spacing w:after="200" w:line="276" w:lineRule="auto"/>
        <w:ind w:left="0" w:right="0"/>
        <w:rPr>
          <w:b/>
          <w:bCs/>
          <w:iCs/>
          <w:sz w:val="24"/>
          <w:szCs w:val="24"/>
        </w:rPr>
      </w:pPr>
      <w:r>
        <w:rPr>
          <w:b/>
          <w:bCs/>
          <w:iCs/>
          <w:sz w:val="24"/>
          <w:szCs w:val="24"/>
        </w:rPr>
        <w:br w:type="page"/>
      </w:r>
    </w:p>
    <w:p w:rsidR="00EB12FC" w:rsidRPr="00D26837" w:rsidRDefault="00EB12FC" w:rsidP="003D476E">
      <w:pPr>
        <w:pStyle w:val="Instruction"/>
        <w:rPr>
          <w:sz w:val="40"/>
          <w:szCs w:val="40"/>
        </w:rPr>
      </w:pPr>
      <w:r w:rsidRPr="00D26837">
        <w:rPr>
          <w:sz w:val="40"/>
          <w:szCs w:val="40"/>
        </w:rPr>
        <w:lastRenderedPageBreak/>
        <w:t>Appendix a: Assessments</w:t>
      </w:r>
    </w:p>
    <w:p w:rsidR="00A11A74" w:rsidRPr="00A11A74" w:rsidRDefault="00A11A74" w:rsidP="001C75F9">
      <w:pPr>
        <w:ind w:left="0"/>
        <w:rPr>
          <w:rFonts w:asciiTheme="minorHAnsi" w:hAnsiTheme="minorHAnsi"/>
          <w:sz w:val="24"/>
          <w:szCs w:val="24"/>
        </w:rPr>
      </w:pPr>
    </w:p>
    <w:p w:rsidR="00A11A74" w:rsidRPr="001C75F9" w:rsidRDefault="00A11A74" w:rsidP="00A11A74">
      <w:pPr>
        <w:rPr>
          <w:rFonts w:asciiTheme="minorHAnsi" w:hAnsiTheme="minorHAnsi"/>
          <w:i/>
          <w:sz w:val="28"/>
          <w:szCs w:val="28"/>
        </w:rPr>
      </w:pPr>
      <w:r w:rsidRPr="001C75F9">
        <w:rPr>
          <w:rFonts w:asciiTheme="minorHAnsi" w:hAnsiTheme="minorHAnsi"/>
          <w:i/>
          <w:sz w:val="28"/>
          <w:szCs w:val="28"/>
        </w:rPr>
        <w:t>Progress Check at age two</w:t>
      </w:r>
    </w:p>
    <w:p w:rsidR="00A11A74" w:rsidRPr="00A11A74" w:rsidRDefault="00A11A74" w:rsidP="00A11A74">
      <w:pPr>
        <w:jc w:val="center"/>
        <w:rPr>
          <w:rFonts w:asciiTheme="minorHAnsi" w:hAnsiTheme="minorHAnsi"/>
          <w:i/>
          <w:sz w:val="24"/>
          <w:szCs w:val="24"/>
        </w:rPr>
      </w:pPr>
    </w:p>
    <w:p w:rsidR="00A11A74" w:rsidRPr="001C75F9" w:rsidRDefault="00A11A74" w:rsidP="001C75F9">
      <w:pPr>
        <w:ind w:left="720"/>
        <w:rPr>
          <w:rFonts w:asciiTheme="minorHAnsi" w:hAnsiTheme="minorHAnsi"/>
          <w:sz w:val="24"/>
          <w:szCs w:val="24"/>
        </w:rPr>
      </w:pPr>
      <w:r w:rsidRPr="001C75F9">
        <w:rPr>
          <w:rFonts w:asciiTheme="minorHAnsi" w:hAnsiTheme="minorHAnsi"/>
          <w:sz w:val="24"/>
          <w:szCs w:val="24"/>
        </w:rPr>
        <w:t xml:space="preserve">“When a child is aged between two and three, EY practitioners must review progress and provide parents with a short written summary of their child’s development, focussing in particular on communication and language, physical development and personal, social and emotional development.” </w:t>
      </w:r>
      <w:r w:rsidRPr="001C75F9">
        <w:rPr>
          <w:sz w:val="24"/>
          <w:szCs w:val="24"/>
        </w:rPr>
        <w:t>(EY guide to the 0-25 SEND COP)</w:t>
      </w:r>
    </w:p>
    <w:p w:rsidR="0017306D" w:rsidRPr="0017306D" w:rsidRDefault="0017306D" w:rsidP="0017306D">
      <w:pPr>
        <w:rPr>
          <w:rFonts w:asciiTheme="minorHAnsi" w:hAnsiTheme="minorHAnsi"/>
          <w:sz w:val="24"/>
          <w:szCs w:val="24"/>
        </w:rPr>
      </w:pPr>
    </w:p>
    <w:p w:rsidR="0017306D" w:rsidRPr="001C75F9" w:rsidRDefault="0017306D" w:rsidP="0017306D">
      <w:pPr>
        <w:rPr>
          <w:rFonts w:asciiTheme="minorHAnsi" w:hAnsiTheme="minorHAnsi"/>
          <w:i/>
          <w:sz w:val="28"/>
          <w:szCs w:val="28"/>
        </w:rPr>
      </w:pPr>
      <w:r w:rsidRPr="001C75F9">
        <w:rPr>
          <w:rFonts w:asciiTheme="minorHAnsi" w:hAnsiTheme="minorHAnsi"/>
          <w:i/>
          <w:sz w:val="28"/>
          <w:szCs w:val="28"/>
        </w:rPr>
        <w:t>Tracking Children’s Progress through the EYFS in Early Years settings</w:t>
      </w:r>
    </w:p>
    <w:p w:rsidR="0017306D" w:rsidRPr="0017306D" w:rsidRDefault="0017306D" w:rsidP="0017306D">
      <w:pPr>
        <w:pStyle w:val="Default"/>
        <w:rPr>
          <w:rFonts w:asciiTheme="minorHAnsi" w:hAnsiTheme="minorHAnsi"/>
        </w:rPr>
      </w:pPr>
    </w:p>
    <w:p w:rsidR="0017306D" w:rsidRPr="0017306D" w:rsidRDefault="0017306D" w:rsidP="0017306D">
      <w:pPr>
        <w:pStyle w:val="Default"/>
        <w:rPr>
          <w:rFonts w:asciiTheme="minorHAnsi" w:hAnsiTheme="minorHAnsi"/>
        </w:rPr>
      </w:pPr>
      <w:r w:rsidRPr="0017306D">
        <w:rPr>
          <w:rFonts w:asciiTheme="minorHAnsi" w:hAnsiTheme="minorHAnsi"/>
        </w:rPr>
        <w:t>Practitioners in the EYFS should use information gathered from their day to day observations and interactions to plan for children’s interests and needs, to enable all children to make good progress in their learning and development.</w:t>
      </w:r>
    </w:p>
    <w:p w:rsidR="0017306D" w:rsidRPr="0017306D" w:rsidRDefault="0017306D" w:rsidP="0017306D">
      <w:pPr>
        <w:pStyle w:val="Default"/>
        <w:rPr>
          <w:rFonts w:asciiTheme="minorHAnsi" w:hAnsiTheme="minorHAnsi"/>
        </w:rPr>
      </w:pPr>
    </w:p>
    <w:p w:rsidR="0017306D" w:rsidRPr="0017306D" w:rsidRDefault="0017306D" w:rsidP="0017306D">
      <w:pPr>
        <w:pStyle w:val="Default"/>
        <w:rPr>
          <w:rFonts w:asciiTheme="minorHAnsi" w:hAnsiTheme="minorHAnsi"/>
        </w:rPr>
      </w:pPr>
      <w:r w:rsidRPr="0017306D">
        <w:rPr>
          <w:rFonts w:asciiTheme="minorHAnsi" w:hAnsiTheme="minorHAnsi"/>
        </w:rPr>
        <w:t xml:space="preserve">It is vital that early year’s managers monitor the progress that individuals and different groups of children are making across the various aspects within the EYFS, to enable gaps in learning to be identified and addressed early. Managers can then use the resulting tracking data to check if children are reaching their developmental milestones. </w:t>
      </w:r>
    </w:p>
    <w:p w:rsidR="0017306D" w:rsidRPr="0017306D" w:rsidRDefault="0017306D" w:rsidP="0017306D">
      <w:pPr>
        <w:pStyle w:val="Default"/>
        <w:rPr>
          <w:rFonts w:asciiTheme="minorHAnsi" w:hAnsiTheme="minorHAnsi"/>
        </w:rPr>
      </w:pPr>
    </w:p>
    <w:p w:rsidR="0017306D" w:rsidRPr="0017306D" w:rsidRDefault="0017306D" w:rsidP="0017306D">
      <w:pPr>
        <w:pStyle w:val="Default"/>
        <w:rPr>
          <w:rFonts w:asciiTheme="minorHAnsi" w:hAnsiTheme="minorHAnsi"/>
        </w:rPr>
      </w:pPr>
      <w:r w:rsidRPr="0017306D">
        <w:rPr>
          <w:rFonts w:asciiTheme="minorHAnsi" w:hAnsiTheme="minorHAnsi"/>
        </w:rPr>
        <w:t xml:space="preserve">The LA has developed The Wiltshire Early Years Progress Tracker to ensure managers can keep an overview of progress in their setting. The tool enables each child’s learning and development to be tracked from their starting points against the EYFS ‘Development Matters’ ages and stages.  It supports managers to consider whether children are demonstrating typical development for their age, are ahead for their age or working below the development typical for their age.  Support and strategies can then be planned and monitored. </w:t>
      </w:r>
    </w:p>
    <w:p w:rsidR="0017306D" w:rsidRPr="0017306D" w:rsidRDefault="0017306D" w:rsidP="0017306D">
      <w:pPr>
        <w:pStyle w:val="Default"/>
        <w:rPr>
          <w:rFonts w:asciiTheme="minorHAnsi" w:hAnsiTheme="minorHAnsi"/>
        </w:rPr>
      </w:pPr>
    </w:p>
    <w:p w:rsidR="00A11A74" w:rsidRDefault="0017306D" w:rsidP="0017306D">
      <w:pPr>
        <w:pStyle w:val="Default"/>
        <w:rPr>
          <w:rFonts w:asciiTheme="minorHAnsi" w:hAnsiTheme="minorHAnsi"/>
          <w:i/>
          <w:iCs/>
        </w:rPr>
      </w:pPr>
      <w:r w:rsidRPr="0017306D">
        <w:rPr>
          <w:rFonts w:asciiTheme="minorHAnsi" w:hAnsiTheme="minorHAnsi"/>
        </w:rPr>
        <w:t xml:space="preserve">The progress tracker has also been designed to meet the requirements of the Common Inspection Framework expectation: </w:t>
      </w:r>
      <w:r w:rsidRPr="0017306D">
        <w:rPr>
          <w:rFonts w:asciiTheme="minorHAnsi" w:hAnsiTheme="minorHAnsi"/>
          <w:i/>
          <w:iCs/>
        </w:rPr>
        <w:t>“the effectiveness of the monitoring of children’s progress and interventions when needed, to ensure that gaps are narrowing for groups of children, and for individual children identified as being in need of support.”</w:t>
      </w:r>
    </w:p>
    <w:p w:rsidR="0017306D" w:rsidRPr="0017306D" w:rsidRDefault="0017306D" w:rsidP="0017306D">
      <w:pPr>
        <w:pStyle w:val="Default"/>
        <w:rPr>
          <w:rFonts w:asciiTheme="minorHAnsi" w:hAnsiTheme="minorHAnsi"/>
        </w:rPr>
      </w:pPr>
      <w:r w:rsidRPr="0017306D">
        <w:rPr>
          <w:rFonts w:asciiTheme="minorHAnsi" w:hAnsiTheme="minorHAnsi"/>
          <w:i/>
          <w:iCs/>
        </w:rPr>
        <w:t xml:space="preserve"> </w:t>
      </w:r>
      <w:proofErr w:type="gramStart"/>
      <w:r w:rsidRPr="0017306D">
        <w:rPr>
          <w:rFonts w:asciiTheme="minorHAnsi" w:hAnsiTheme="minorHAnsi"/>
        </w:rPr>
        <w:t>(Early Years Inspection Handbook, 2015).</w:t>
      </w:r>
      <w:proofErr w:type="gramEnd"/>
      <w:r w:rsidRPr="0017306D">
        <w:rPr>
          <w:rFonts w:asciiTheme="minorHAnsi" w:hAnsiTheme="minorHAnsi"/>
        </w:rPr>
        <w:t xml:space="preserve"> </w:t>
      </w:r>
    </w:p>
    <w:p w:rsidR="00E26C0E" w:rsidRDefault="00E26C0E" w:rsidP="00E26C0E">
      <w:pPr>
        <w:pStyle w:val="Instruction"/>
      </w:pPr>
    </w:p>
    <w:p w:rsidR="00E26C0E" w:rsidRPr="003D476E" w:rsidRDefault="005D4942" w:rsidP="00E26C0E">
      <w:pPr>
        <w:pStyle w:val="Instruction"/>
        <w:rPr>
          <w:sz w:val="24"/>
          <w:szCs w:val="24"/>
        </w:rPr>
      </w:pPr>
      <w:r>
        <w:rPr>
          <w:sz w:val="24"/>
          <w:szCs w:val="24"/>
        </w:rPr>
        <w:t xml:space="preserve">For teachers of Reception aged children, </w:t>
      </w:r>
      <w:r w:rsidR="00E26C0E">
        <w:rPr>
          <w:sz w:val="24"/>
          <w:szCs w:val="24"/>
        </w:rPr>
        <w:t xml:space="preserve">the following assessments may be useful in assessing potential SEN in young children and in monitoring </w:t>
      </w:r>
      <w:r w:rsidR="001C75F9">
        <w:rPr>
          <w:sz w:val="24"/>
          <w:szCs w:val="24"/>
        </w:rPr>
        <w:t>children’s</w:t>
      </w:r>
      <w:r w:rsidR="00E26C0E">
        <w:rPr>
          <w:sz w:val="24"/>
          <w:szCs w:val="24"/>
        </w:rPr>
        <w:t xml:space="preserve"> progress:</w:t>
      </w:r>
    </w:p>
    <w:p w:rsidR="00E26C0E" w:rsidRPr="00996AF1" w:rsidRDefault="00E26C0E" w:rsidP="00E26C0E">
      <w:pPr>
        <w:ind w:right="141"/>
        <w:rPr>
          <w:b/>
          <w:bCs/>
          <w:sz w:val="24"/>
          <w:szCs w:val="24"/>
        </w:rPr>
      </w:pPr>
    </w:p>
    <w:p w:rsidR="00E26C0E" w:rsidRDefault="00E26C0E" w:rsidP="00E26C0E">
      <w:pPr>
        <w:pStyle w:val="ListParagraph"/>
        <w:numPr>
          <w:ilvl w:val="0"/>
          <w:numId w:val="10"/>
        </w:numPr>
        <w:ind w:right="141"/>
        <w:rPr>
          <w:sz w:val="24"/>
          <w:szCs w:val="24"/>
        </w:rPr>
      </w:pPr>
      <w:r w:rsidRPr="0005055B">
        <w:rPr>
          <w:sz w:val="24"/>
          <w:szCs w:val="24"/>
        </w:rPr>
        <w:t xml:space="preserve">Early Years Foundation Stage </w:t>
      </w:r>
      <w:r>
        <w:rPr>
          <w:sz w:val="24"/>
          <w:szCs w:val="24"/>
        </w:rPr>
        <w:t>Framework / Profile</w:t>
      </w:r>
    </w:p>
    <w:p w:rsidR="00E26C0E" w:rsidRPr="0005055B" w:rsidRDefault="00E26C0E" w:rsidP="00E26C0E">
      <w:pPr>
        <w:pStyle w:val="ListParagraph"/>
        <w:numPr>
          <w:ilvl w:val="0"/>
          <w:numId w:val="10"/>
        </w:numPr>
        <w:ind w:right="141"/>
        <w:rPr>
          <w:sz w:val="24"/>
          <w:szCs w:val="24"/>
        </w:rPr>
      </w:pPr>
      <w:r>
        <w:rPr>
          <w:sz w:val="24"/>
          <w:szCs w:val="24"/>
        </w:rPr>
        <w:t xml:space="preserve">Development Matters Guidance </w:t>
      </w:r>
    </w:p>
    <w:p w:rsidR="00E26C0E" w:rsidRPr="0005055B" w:rsidRDefault="00E26C0E" w:rsidP="00E26C0E">
      <w:pPr>
        <w:pStyle w:val="ListParagraph"/>
        <w:numPr>
          <w:ilvl w:val="0"/>
          <w:numId w:val="10"/>
        </w:numPr>
        <w:ind w:right="141"/>
        <w:rPr>
          <w:sz w:val="24"/>
          <w:szCs w:val="24"/>
        </w:rPr>
      </w:pPr>
      <w:r w:rsidRPr="0005055B">
        <w:rPr>
          <w:sz w:val="24"/>
          <w:szCs w:val="24"/>
        </w:rPr>
        <w:t>Early Years Foundation Stage Individual Learning Journey</w:t>
      </w:r>
    </w:p>
    <w:p w:rsidR="00E26C0E" w:rsidRDefault="00E26C0E" w:rsidP="00E26C0E">
      <w:pPr>
        <w:pStyle w:val="ListParagraph"/>
        <w:numPr>
          <w:ilvl w:val="0"/>
          <w:numId w:val="10"/>
        </w:numPr>
        <w:spacing w:after="0"/>
        <w:ind w:right="141"/>
        <w:rPr>
          <w:sz w:val="24"/>
          <w:szCs w:val="24"/>
        </w:rPr>
      </w:pPr>
      <w:r w:rsidRPr="0005055B">
        <w:rPr>
          <w:sz w:val="24"/>
          <w:szCs w:val="24"/>
        </w:rPr>
        <w:t>Early Support Development Journal</w:t>
      </w:r>
    </w:p>
    <w:p w:rsidR="00E26C0E" w:rsidRDefault="00E26C0E" w:rsidP="00E26C0E">
      <w:pPr>
        <w:pStyle w:val="ListParagraph"/>
        <w:numPr>
          <w:ilvl w:val="0"/>
          <w:numId w:val="10"/>
        </w:numPr>
        <w:spacing w:after="0"/>
        <w:ind w:right="141"/>
        <w:rPr>
          <w:sz w:val="24"/>
          <w:szCs w:val="24"/>
        </w:rPr>
      </w:pPr>
      <w:r w:rsidRPr="00E26C0E">
        <w:rPr>
          <w:sz w:val="24"/>
          <w:szCs w:val="24"/>
        </w:rPr>
        <w:t xml:space="preserve">Early Years Behaviour/ Environment Audit (available from the Early Intervention team) </w:t>
      </w:r>
    </w:p>
    <w:p w:rsidR="002E5F27" w:rsidRPr="002E5F27" w:rsidRDefault="002E5F27" w:rsidP="002E5F27">
      <w:pPr>
        <w:pStyle w:val="ListParagraph"/>
        <w:numPr>
          <w:ilvl w:val="0"/>
          <w:numId w:val="10"/>
        </w:numPr>
        <w:spacing w:after="0"/>
        <w:ind w:right="141"/>
      </w:pPr>
      <w:r w:rsidRPr="00AA7F9A">
        <w:rPr>
          <w:sz w:val="24"/>
          <w:szCs w:val="24"/>
        </w:rPr>
        <w:t xml:space="preserve">Goodman’s Strengths and Difficulties questionnaire (SDQ);   </w:t>
      </w:r>
      <w:hyperlink r:id="rId28" w:history="1">
        <w:r w:rsidRPr="00AA7F9A">
          <w:rPr>
            <w:rStyle w:val="Hyperlink"/>
            <w:sz w:val="24"/>
            <w:szCs w:val="24"/>
          </w:rPr>
          <w:t>http://www.sdqinfo.org/</w:t>
        </w:r>
      </w:hyperlink>
      <w:r>
        <w:t xml:space="preserve"> (</w:t>
      </w:r>
      <w:r w:rsidRPr="00B369A6">
        <w:rPr>
          <w:sz w:val="24"/>
          <w:szCs w:val="24"/>
        </w:rPr>
        <w:t xml:space="preserve">Can be used as a baseline assessment of the severity of the child or young person’s behaviour, to measure areas of relative strength, and to measure progress. In addition </w:t>
      </w:r>
      <w:r w:rsidRPr="00B369A6">
        <w:rPr>
          <w:sz w:val="24"/>
          <w:szCs w:val="24"/>
        </w:rPr>
        <w:lastRenderedPageBreak/>
        <w:t>the questionnaire allows comparisons between home and EY setting/ school behaviour, and helps to facilitate the involvement of parents and carers.</w:t>
      </w:r>
      <w:r>
        <w:rPr>
          <w:sz w:val="24"/>
          <w:szCs w:val="24"/>
        </w:rPr>
        <w:t>)</w:t>
      </w:r>
    </w:p>
    <w:p w:rsidR="00E26C0E" w:rsidRDefault="00E26C0E" w:rsidP="00E26C0E">
      <w:pPr>
        <w:pStyle w:val="Instruction"/>
        <w:rPr>
          <w:szCs w:val="32"/>
        </w:rPr>
      </w:pPr>
    </w:p>
    <w:p w:rsidR="00E26C0E" w:rsidRDefault="00E26C0E" w:rsidP="00E26C0E">
      <w:pPr>
        <w:pStyle w:val="Instruction"/>
        <w:rPr>
          <w:i/>
          <w:sz w:val="28"/>
          <w:szCs w:val="28"/>
        </w:rPr>
      </w:pPr>
      <w:r w:rsidRPr="00E26C0E">
        <w:rPr>
          <w:i/>
          <w:sz w:val="28"/>
          <w:szCs w:val="28"/>
        </w:rPr>
        <w:t>Future developments</w:t>
      </w:r>
    </w:p>
    <w:p w:rsidR="001C75F9" w:rsidRPr="00E26C0E" w:rsidRDefault="001C75F9" w:rsidP="00E26C0E">
      <w:pPr>
        <w:pStyle w:val="Instruction"/>
        <w:rPr>
          <w:i/>
          <w:sz w:val="28"/>
          <w:szCs w:val="28"/>
        </w:rPr>
      </w:pPr>
    </w:p>
    <w:p w:rsidR="00D8515D" w:rsidRDefault="00D8515D" w:rsidP="00D8515D">
      <w:pPr>
        <w:pStyle w:val="Instruction"/>
      </w:pPr>
      <w:r>
        <w:rPr>
          <w:color w:val="000000"/>
          <w:sz w:val="24"/>
          <w:szCs w:val="24"/>
        </w:rPr>
        <w:t xml:space="preserve">Practitioners should note that the EYFS Profile is still mandatory in the academic year September 2016-17.  Due to insufficient similarity of data in the baseline assessment comparability study, the 3 accredited baseline schemes introduced in 2015 were removed from the progress floor standard.  The use of an additional baseline assessment scheme remains optional in 2016-17.  Schools should still make judgements of children’s starting points through observation and interaction, using the developmental stages that precede the EYFS early learning goals.  Any baseline assessment scheme introduced in addition to this should be carefully chosen to check it enables an accurate and reliable observation- based assessment that meets the principles and requirements of the EYFS and is pedagogically responsible for young children.  There are plans for the government to introduce a new school readiness check in September 2017 to replace the EYFS Profile.  The EYFS Statutory Framework will however remain in place.  </w:t>
      </w:r>
      <w:r w:rsidRPr="00A11A74">
        <w:t xml:space="preserve"> </w:t>
      </w:r>
    </w:p>
    <w:p w:rsidR="00A11A74" w:rsidRDefault="00A11A74" w:rsidP="00D8515D">
      <w:pPr>
        <w:pStyle w:val="Instruction"/>
        <w:ind w:left="0"/>
      </w:pPr>
    </w:p>
    <w:p w:rsidR="00A11A74" w:rsidRPr="001C75F9" w:rsidRDefault="00A11A74" w:rsidP="00A11A74">
      <w:pPr>
        <w:pStyle w:val="Instruction"/>
        <w:rPr>
          <w:i/>
        </w:rPr>
      </w:pPr>
      <w:r w:rsidRPr="001C75F9">
        <w:rPr>
          <w:i/>
        </w:rPr>
        <w:t>P scales</w:t>
      </w:r>
    </w:p>
    <w:p w:rsidR="001C75F9" w:rsidRDefault="001C75F9" w:rsidP="00A11A74">
      <w:pPr>
        <w:pStyle w:val="Instruction"/>
      </w:pPr>
    </w:p>
    <w:p w:rsidR="00A11A74" w:rsidRPr="00927EA5" w:rsidRDefault="00231954" w:rsidP="00A11A74">
      <w:pPr>
        <w:pStyle w:val="Instruction"/>
      </w:pPr>
      <w:hyperlink r:id="rId29" w:history="1">
        <w:r w:rsidR="00A11A74" w:rsidRPr="00B07A57">
          <w:rPr>
            <w:rStyle w:val="Hyperlink"/>
            <w:sz w:val="24"/>
            <w:szCs w:val="24"/>
          </w:rPr>
          <w:t>National guidance</w:t>
        </w:r>
      </w:hyperlink>
      <w:r w:rsidR="00A11A74">
        <w:rPr>
          <w:sz w:val="24"/>
          <w:szCs w:val="24"/>
        </w:rPr>
        <w:t xml:space="preserve"> on using the P scales was published in April 2013</w:t>
      </w:r>
      <w:r w:rsidR="00D26837">
        <w:rPr>
          <w:sz w:val="24"/>
          <w:szCs w:val="24"/>
        </w:rPr>
        <w:t xml:space="preserve"> and withdrawn on 5 October 2016</w:t>
      </w:r>
      <w:r w:rsidR="00A11A74">
        <w:rPr>
          <w:sz w:val="24"/>
          <w:szCs w:val="24"/>
        </w:rPr>
        <w:t>.</w:t>
      </w:r>
      <w:r w:rsidR="00D26837">
        <w:rPr>
          <w:sz w:val="24"/>
          <w:szCs w:val="24"/>
        </w:rPr>
        <w:t xml:space="preserve">  Whilst some schools may continue to use p-scales for the time being,</w:t>
      </w:r>
      <w:r w:rsidR="00A11A74">
        <w:rPr>
          <w:sz w:val="24"/>
          <w:szCs w:val="24"/>
        </w:rPr>
        <w:t xml:space="preserve"> </w:t>
      </w:r>
      <w:r w:rsidR="00A11A74" w:rsidRPr="00996AF1">
        <w:rPr>
          <w:color w:val="000000"/>
          <w:sz w:val="24"/>
          <w:szCs w:val="24"/>
        </w:rPr>
        <w:t xml:space="preserve">it is agreed that they should NOT be used within the Early Years Foundation Stage (EYFS).  </w:t>
      </w:r>
    </w:p>
    <w:p w:rsidR="00E26C0E" w:rsidRDefault="00E26C0E" w:rsidP="00E26C0E">
      <w:pPr>
        <w:shd w:val="clear" w:color="auto" w:fill="FFFFFF"/>
        <w:spacing w:before="100" w:beforeAutospacing="1" w:after="180"/>
        <w:ind w:right="141"/>
        <w:rPr>
          <w:color w:val="000000"/>
          <w:sz w:val="24"/>
          <w:szCs w:val="24"/>
        </w:rPr>
      </w:pPr>
    </w:p>
    <w:p w:rsidR="00A11A74" w:rsidRDefault="00A11A74" w:rsidP="00E26C0E">
      <w:pPr>
        <w:shd w:val="clear" w:color="auto" w:fill="FFFFFF"/>
        <w:spacing w:before="100" w:beforeAutospacing="1" w:after="180"/>
        <w:ind w:right="141"/>
        <w:rPr>
          <w:color w:val="000000"/>
          <w:sz w:val="24"/>
          <w:szCs w:val="24"/>
        </w:rPr>
      </w:pPr>
    </w:p>
    <w:p w:rsidR="005D4942" w:rsidRPr="00996AF1" w:rsidRDefault="005D4942" w:rsidP="00E26C0E">
      <w:pPr>
        <w:shd w:val="clear" w:color="auto" w:fill="FFFFFF"/>
        <w:spacing w:before="100" w:beforeAutospacing="1" w:after="180"/>
        <w:ind w:right="141"/>
        <w:rPr>
          <w:color w:val="000000"/>
          <w:sz w:val="24"/>
          <w:szCs w:val="24"/>
        </w:rPr>
      </w:pPr>
    </w:p>
    <w:p w:rsidR="000A7C01" w:rsidRDefault="000A7C01">
      <w:pPr>
        <w:spacing w:after="200" w:line="276" w:lineRule="auto"/>
        <w:ind w:left="0" w:right="0"/>
        <w:rPr>
          <w:sz w:val="24"/>
          <w:szCs w:val="24"/>
        </w:rPr>
      </w:pPr>
      <w:r>
        <w:rPr>
          <w:sz w:val="24"/>
          <w:szCs w:val="24"/>
        </w:rPr>
        <w:br w:type="page"/>
      </w:r>
    </w:p>
    <w:p w:rsidR="000A7C01" w:rsidRDefault="000A7C01" w:rsidP="002426B2">
      <w:pPr>
        <w:pStyle w:val="HeaderTitle0"/>
      </w:pPr>
      <w:r>
        <w:lastRenderedPageBreak/>
        <w:t xml:space="preserve">Appendix b: </w:t>
      </w:r>
      <w:r w:rsidR="004B3582">
        <w:t>My Plan (</w:t>
      </w:r>
      <w:r w:rsidR="002426B2">
        <w:t>EHC plan</w:t>
      </w:r>
      <w:r w:rsidR="004B3582">
        <w:t>)</w:t>
      </w:r>
      <w:r w:rsidR="002426B2">
        <w:t xml:space="preserve"> process</w:t>
      </w:r>
      <w:bookmarkStart w:id="19" w:name="In_App_b"/>
      <w:bookmarkEnd w:id="19"/>
    </w:p>
    <w:p w:rsidR="002426B2" w:rsidRPr="002426B2" w:rsidRDefault="002426B2" w:rsidP="002426B2">
      <w:pPr>
        <w:pStyle w:val="HeaderTitle0"/>
        <w:rPr>
          <w:sz w:val="12"/>
        </w:rPr>
      </w:pPr>
    </w:p>
    <w:p w:rsidR="00F62B7A" w:rsidRDefault="00927EA5" w:rsidP="002426B2">
      <w:pPr>
        <w:pStyle w:val="In-pageheading"/>
        <w:rPr>
          <w:sz w:val="24"/>
          <w:szCs w:val="24"/>
        </w:rPr>
      </w:pPr>
      <w:r>
        <w:t>School or</w:t>
      </w:r>
      <w:r w:rsidR="00191A37">
        <w:t xml:space="preserve"> early years s</w:t>
      </w:r>
      <w:r>
        <w:t>etting</w:t>
      </w:r>
      <w:r w:rsidR="00191A37">
        <w:t xml:space="preserve"> </w:t>
      </w:r>
      <w:r w:rsidR="000A7C01">
        <w:t>request</w:t>
      </w:r>
    </w:p>
    <w:tbl>
      <w:tblPr>
        <w:tblStyle w:val="TableGrid"/>
        <w:tblW w:w="10031" w:type="dxa"/>
        <w:tblInd w:w="-176" w:type="dxa"/>
        <w:tblLook w:val="04A0"/>
      </w:tblPr>
      <w:tblGrid>
        <w:gridCol w:w="5437"/>
        <w:gridCol w:w="4594"/>
      </w:tblGrid>
      <w:tr w:rsidR="000A7C01" w:rsidTr="000A7C01">
        <w:trPr>
          <w:trHeight w:val="195"/>
        </w:trPr>
        <w:tc>
          <w:tcPr>
            <w:tcW w:w="5437" w:type="dxa"/>
            <w:shd w:val="clear" w:color="auto" w:fill="1F497D" w:themeFill="text2"/>
            <w:vAlign w:val="center"/>
          </w:tcPr>
          <w:p w:rsidR="000A7C01" w:rsidRPr="000A7C01" w:rsidRDefault="000A7C01" w:rsidP="000A7C01">
            <w:pPr>
              <w:pStyle w:val="Tableheading1"/>
            </w:pPr>
            <w:r w:rsidRPr="000A7C01">
              <w:t>Step</w:t>
            </w:r>
          </w:p>
        </w:tc>
        <w:tc>
          <w:tcPr>
            <w:tcW w:w="4594" w:type="dxa"/>
            <w:shd w:val="clear" w:color="auto" w:fill="1F497D" w:themeFill="text2"/>
            <w:vAlign w:val="center"/>
          </w:tcPr>
          <w:p w:rsidR="000A7C01" w:rsidRPr="000A7C01" w:rsidRDefault="000A7C01" w:rsidP="000A7C01">
            <w:pPr>
              <w:pStyle w:val="Tableheading1"/>
            </w:pPr>
            <w:r w:rsidRPr="000A7C01">
              <w:t>Actions</w:t>
            </w:r>
            <w:r w:rsidR="00191A37">
              <w:t xml:space="preserve"> (information)</w:t>
            </w:r>
          </w:p>
        </w:tc>
      </w:tr>
      <w:tr w:rsidR="000A7C01" w:rsidTr="000A7C01">
        <w:trPr>
          <w:trHeight w:val="195"/>
        </w:trPr>
        <w:tc>
          <w:tcPr>
            <w:tcW w:w="5437" w:type="dxa"/>
            <w:vAlign w:val="center"/>
          </w:tcPr>
          <w:p w:rsidR="000A7C01" w:rsidRPr="000A7C01" w:rsidRDefault="000A7C01" w:rsidP="00191A37">
            <w:pPr>
              <w:pStyle w:val="Tablebody"/>
              <w:rPr>
                <w:sz w:val="22"/>
              </w:rPr>
            </w:pPr>
            <w:r w:rsidRPr="000A7C01">
              <w:rPr>
                <w:sz w:val="22"/>
              </w:rPr>
              <w:t xml:space="preserve">Graduated approach captured </w:t>
            </w:r>
            <w:r w:rsidR="00191A37">
              <w:rPr>
                <w:sz w:val="22"/>
              </w:rPr>
              <w:t xml:space="preserve">through a cycle of </w:t>
            </w:r>
            <w:r w:rsidRPr="000A7C01">
              <w:rPr>
                <w:sz w:val="22"/>
              </w:rPr>
              <w:t xml:space="preserve"> </w:t>
            </w:r>
            <w:r w:rsidRPr="00172524">
              <w:rPr>
                <w:b/>
                <w:sz w:val="22"/>
              </w:rPr>
              <w:t>My Support Plan</w:t>
            </w:r>
            <w:r w:rsidR="009F4CA5">
              <w:rPr>
                <w:b/>
                <w:sz w:val="22"/>
              </w:rPr>
              <w:t>s</w:t>
            </w:r>
          </w:p>
        </w:tc>
        <w:tc>
          <w:tcPr>
            <w:tcW w:w="4594" w:type="dxa"/>
            <w:vAlign w:val="center"/>
          </w:tcPr>
          <w:p w:rsidR="000A7C01" w:rsidRPr="000A7C01" w:rsidRDefault="000A7C01" w:rsidP="008E5819">
            <w:pPr>
              <w:pStyle w:val="Tablebody"/>
              <w:rPr>
                <w:sz w:val="22"/>
              </w:rPr>
            </w:pPr>
            <w:r w:rsidRPr="000A7C01">
              <w:rPr>
                <w:sz w:val="22"/>
              </w:rPr>
              <w:t>Involve specialist if C</w:t>
            </w:r>
            <w:r w:rsidR="008E5819">
              <w:rPr>
                <w:sz w:val="22"/>
              </w:rPr>
              <w:t>hild</w:t>
            </w:r>
            <w:r w:rsidRPr="000A7C01">
              <w:rPr>
                <w:sz w:val="22"/>
              </w:rPr>
              <w:t xml:space="preserve"> not making adequate progress</w:t>
            </w:r>
          </w:p>
        </w:tc>
      </w:tr>
      <w:tr w:rsidR="000A7C01" w:rsidTr="000A7C01">
        <w:trPr>
          <w:trHeight w:val="195"/>
        </w:trPr>
        <w:tc>
          <w:tcPr>
            <w:tcW w:w="5437" w:type="dxa"/>
            <w:vAlign w:val="center"/>
          </w:tcPr>
          <w:p w:rsidR="000A7C01" w:rsidRPr="000A7C01" w:rsidRDefault="00191A37" w:rsidP="000A7C01">
            <w:pPr>
              <w:pStyle w:val="Tablebody"/>
              <w:rPr>
                <w:sz w:val="22"/>
              </w:rPr>
            </w:pPr>
            <w:r>
              <w:rPr>
                <w:sz w:val="22"/>
              </w:rPr>
              <w:t>Setting is</w:t>
            </w:r>
            <w:r w:rsidR="000A7C01" w:rsidRPr="000A7C01">
              <w:rPr>
                <w:sz w:val="22"/>
              </w:rPr>
              <w:t xml:space="preserve"> considering a request for EHC needs assessment</w:t>
            </w:r>
          </w:p>
        </w:tc>
        <w:tc>
          <w:tcPr>
            <w:tcW w:w="4594" w:type="dxa"/>
            <w:vAlign w:val="center"/>
          </w:tcPr>
          <w:p w:rsidR="000A7C01" w:rsidRDefault="00191A37" w:rsidP="000A7C01">
            <w:pPr>
              <w:pStyle w:val="Tablebody"/>
              <w:rPr>
                <w:b/>
                <w:sz w:val="22"/>
              </w:rPr>
            </w:pPr>
            <w:r>
              <w:rPr>
                <w:sz w:val="22"/>
              </w:rPr>
              <w:t>S</w:t>
            </w:r>
            <w:r w:rsidR="000A7C01" w:rsidRPr="000A7C01">
              <w:rPr>
                <w:sz w:val="22"/>
              </w:rPr>
              <w:t>etting phones SPOC 01225 757985 to request attendance by S</w:t>
            </w:r>
            <w:r w:rsidR="002426B2">
              <w:rPr>
                <w:sz w:val="22"/>
              </w:rPr>
              <w:t xml:space="preserve">END </w:t>
            </w:r>
            <w:r w:rsidR="000A7C01" w:rsidRPr="000A7C01">
              <w:rPr>
                <w:sz w:val="22"/>
              </w:rPr>
              <w:t>L</w:t>
            </w:r>
            <w:r w:rsidR="002426B2">
              <w:rPr>
                <w:sz w:val="22"/>
              </w:rPr>
              <w:t xml:space="preserve">ead </w:t>
            </w:r>
            <w:r w:rsidR="000A7C01" w:rsidRPr="000A7C01">
              <w:rPr>
                <w:sz w:val="22"/>
              </w:rPr>
              <w:t>W</w:t>
            </w:r>
            <w:r w:rsidR="002426B2">
              <w:rPr>
                <w:sz w:val="22"/>
              </w:rPr>
              <w:t>orker (SLW)</w:t>
            </w:r>
            <w:r w:rsidR="000A7C01" w:rsidRPr="000A7C01">
              <w:rPr>
                <w:sz w:val="22"/>
              </w:rPr>
              <w:t xml:space="preserve">, and other involved LA professionals at </w:t>
            </w:r>
            <w:r>
              <w:rPr>
                <w:sz w:val="22"/>
              </w:rPr>
              <w:t>SEN Support “</w:t>
            </w:r>
            <w:r w:rsidR="000A7C01" w:rsidRPr="002426B2">
              <w:rPr>
                <w:b/>
                <w:sz w:val="22"/>
              </w:rPr>
              <w:t xml:space="preserve">My Support </w:t>
            </w:r>
            <w:r w:rsidR="002426B2" w:rsidRPr="002426B2">
              <w:rPr>
                <w:b/>
                <w:sz w:val="22"/>
              </w:rPr>
              <w:t>Plan</w:t>
            </w:r>
            <w:r>
              <w:rPr>
                <w:b/>
                <w:sz w:val="22"/>
              </w:rPr>
              <w:t>”</w:t>
            </w:r>
            <w:r w:rsidR="002426B2" w:rsidRPr="002426B2">
              <w:rPr>
                <w:b/>
                <w:sz w:val="22"/>
              </w:rPr>
              <w:t xml:space="preserve"> </w:t>
            </w:r>
            <w:r w:rsidR="000A7C01" w:rsidRPr="002426B2">
              <w:rPr>
                <w:b/>
                <w:sz w:val="22"/>
              </w:rPr>
              <w:t>meeting</w:t>
            </w:r>
            <w:r>
              <w:rPr>
                <w:b/>
                <w:sz w:val="22"/>
              </w:rPr>
              <w:t>.</w:t>
            </w:r>
          </w:p>
          <w:p w:rsidR="00191A37" w:rsidRDefault="00191A37" w:rsidP="000A7C01">
            <w:pPr>
              <w:pStyle w:val="Tablebody"/>
              <w:rPr>
                <w:b/>
                <w:sz w:val="22"/>
              </w:rPr>
            </w:pPr>
          </w:p>
          <w:p w:rsidR="00191A37" w:rsidRPr="00191A37" w:rsidRDefault="00191A37" w:rsidP="000A7C01">
            <w:pPr>
              <w:pStyle w:val="Tablebody"/>
              <w:rPr>
                <w:sz w:val="22"/>
              </w:rPr>
            </w:pPr>
            <w:r w:rsidRPr="00191A37">
              <w:rPr>
                <w:sz w:val="22"/>
              </w:rPr>
              <w:t>(The role of SLW is not to agree or disagree with the request but to listen to the discussion in order to encourage a “tell us once” approach.)</w:t>
            </w:r>
          </w:p>
        </w:tc>
      </w:tr>
      <w:tr w:rsidR="000A7C01" w:rsidTr="000A7C01">
        <w:trPr>
          <w:trHeight w:val="195"/>
        </w:trPr>
        <w:tc>
          <w:tcPr>
            <w:tcW w:w="5437" w:type="dxa"/>
            <w:vAlign w:val="center"/>
          </w:tcPr>
          <w:p w:rsidR="000A7C01" w:rsidRPr="000A7C01" w:rsidRDefault="00191A37" w:rsidP="000A7C01">
            <w:pPr>
              <w:pStyle w:val="Tablebody"/>
              <w:rPr>
                <w:sz w:val="22"/>
              </w:rPr>
            </w:pPr>
            <w:r>
              <w:rPr>
                <w:sz w:val="22"/>
              </w:rPr>
              <w:t>S</w:t>
            </w:r>
            <w:r w:rsidR="000A7C01" w:rsidRPr="000A7C01">
              <w:rPr>
                <w:sz w:val="22"/>
              </w:rPr>
              <w:t xml:space="preserve">etting holds </w:t>
            </w:r>
            <w:r w:rsidRPr="00191A37">
              <w:rPr>
                <w:b/>
                <w:sz w:val="22"/>
              </w:rPr>
              <w:t>SEN Support “</w:t>
            </w:r>
            <w:r w:rsidR="000A7C01" w:rsidRPr="00191A37">
              <w:rPr>
                <w:b/>
                <w:sz w:val="22"/>
              </w:rPr>
              <w:t>My Support Plan</w:t>
            </w:r>
            <w:r w:rsidRPr="00191A37">
              <w:rPr>
                <w:b/>
                <w:sz w:val="22"/>
              </w:rPr>
              <w:t>”</w:t>
            </w:r>
            <w:r w:rsidR="000A7C01" w:rsidRPr="00191A37">
              <w:rPr>
                <w:b/>
                <w:sz w:val="22"/>
              </w:rPr>
              <w:t xml:space="preserve"> meeting</w:t>
            </w:r>
          </w:p>
        </w:tc>
        <w:tc>
          <w:tcPr>
            <w:tcW w:w="4594" w:type="dxa"/>
            <w:vAlign w:val="center"/>
          </w:tcPr>
          <w:p w:rsidR="000A7C01" w:rsidRPr="000A7C01" w:rsidRDefault="002426B2" w:rsidP="000A7C01">
            <w:pPr>
              <w:pStyle w:val="Tablebody"/>
              <w:rPr>
                <w:sz w:val="22"/>
              </w:rPr>
            </w:pPr>
            <w:r>
              <w:rPr>
                <w:sz w:val="22"/>
              </w:rPr>
              <w:t>Update</w:t>
            </w:r>
            <w:r w:rsidR="000A7C01" w:rsidRPr="000A7C01">
              <w:rPr>
                <w:sz w:val="22"/>
              </w:rPr>
              <w:t xml:space="preserve"> My Support Plan – ensure all issues are explored</w:t>
            </w:r>
          </w:p>
          <w:p w:rsidR="000A7C01" w:rsidRPr="000A7C01" w:rsidRDefault="000A7C01" w:rsidP="000A7C01">
            <w:pPr>
              <w:pStyle w:val="Tablebody"/>
              <w:rPr>
                <w:sz w:val="22"/>
              </w:rPr>
            </w:pPr>
          </w:p>
          <w:p w:rsidR="000A7C01" w:rsidRPr="000A7C01" w:rsidRDefault="000A7C01" w:rsidP="00191A37">
            <w:pPr>
              <w:pStyle w:val="Tablebody"/>
              <w:rPr>
                <w:sz w:val="22"/>
              </w:rPr>
            </w:pPr>
            <w:r w:rsidRPr="000A7C01">
              <w:rPr>
                <w:sz w:val="22"/>
              </w:rPr>
              <w:t xml:space="preserve">At this stage the SLW </w:t>
            </w:r>
            <w:r w:rsidR="00191A37">
              <w:rPr>
                <w:sz w:val="22"/>
              </w:rPr>
              <w:t>will discuss</w:t>
            </w:r>
            <w:r w:rsidR="002D2478">
              <w:rPr>
                <w:sz w:val="22"/>
              </w:rPr>
              <w:t xml:space="preserve"> what further advice the setting</w:t>
            </w:r>
            <w:r w:rsidRPr="000A7C01">
              <w:rPr>
                <w:sz w:val="22"/>
              </w:rPr>
              <w:t>, parent or professionals are seeking and the sufficiency of existing reports</w:t>
            </w:r>
          </w:p>
        </w:tc>
      </w:tr>
      <w:tr w:rsidR="000A7C01" w:rsidTr="002426B2">
        <w:trPr>
          <w:trHeight w:val="195"/>
        </w:trPr>
        <w:tc>
          <w:tcPr>
            <w:tcW w:w="5437" w:type="dxa"/>
            <w:shd w:val="clear" w:color="auto" w:fill="auto"/>
            <w:vAlign w:val="center"/>
          </w:tcPr>
          <w:p w:rsidR="000A7C01" w:rsidRPr="000A7C01" w:rsidRDefault="00191A37" w:rsidP="00191A37">
            <w:pPr>
              <w:pStyle w:val="Tablebody"/>
              <w:rPr>
                <w:sz w:val="22"/>
              </w:rPr>
            </w:pPr>
            <w:r>
              <w:rPr>
                <w:sz w:val="22"/>
              </w:rPr>
              <w:t>S</w:t>
            </w:r>
            <w:r w:rsidR="000A7C01" w:rsidRPr="000A7C01">
              <w:rPr>
                <w:sz w:val="22"/>
              </w:rPr>
              <w:t xml:space="preserve">etting sends in </w:t>
            </w:r>
            <w:r w:rsidR="000A7C01" w:rsidRPr="00172524">
              <w:rPr>
                <w:b/>
                <w:sz w:val="22"/>
              </w:rPr>
              <w:t>My Support Plan</w:t>
            </w:r>
            <w:r w:rsidR="000A7C01" w:rsidRPr="000A7C01">
              <w:rPr>
                <w:sz w:val="22"/>
              </w:rPr>
              <w:t xml:space="preserve"> </w:t>
            </w:r>
            <w:r>
              <w:rPr>
                <w:sz w:val="22"/>
              </w:rPr>
              <w:t xml:space="preserve">with reviews </w:t>
            </w:r>
            <w:r w:rsidR="000A7C01" w:rsidRPr="000A7C01">
              <w:rPr>
                <w:sz w:val="22"/>
              </w:rPr>
              <w:t>to SEND Service with cover sheet</w:t>
            </w:r>
            <w:r>
              <w:rPr>
                <w:sz w:val="22"/>
              </w:rPr>
              <w:t xml:space="preserve"> to request an EHC needs assessment</w:t>
            </w:r>
          </w:p>
        </w:tc>
        <w:tc>
          <w:tcPr>
            <w:tcW w:w="4594" w:type="dxa"/>
            <w:shd w:val="clear" w:color="auto" w:fill="auto"/>
            <w:vAlign w:val="center"/>
          </w:tcPr>
          <w:p w:rsidR="000A7C01" w:rsidRPr="000A7C01" w:rsidRDefault="00191A37" w:rsidP="000A7C01">
            <w:pPr>
              <w:pStyle w:val="Tablebody"/>
              <w:rPr>
                <w:sz w:val="22"/>
              </w:rPr>
            </w:pPr>
            <w:r>
              <w:rPr>
                <w:sz w:val="22"/>
              </w:rPr>
              <w:t xml:space="preserve">(The statutory timescale </w:t>
            </w:r>
            <w:r w:rsidR="00C5154B">
              <w:rPr>
                <w:sz w:val="22"/>
              </w:rPr>
              <w:t xml:space="preserve">of 20 weeks </w:t>
            </w:r>
            <w:r>
              <w:rPr>
                <w:sz w:val="22"/>
              </w:rPr>
              <w:t>starts when the SEND service has received the request)</w:t>
            </w:r>
          </w:p>
        </w:tc>
      </w:tr>
      <w:tr w:rsidR="000A7C01" w:rsidTr="000A7C01">
        <w:trPr>
          <w:trHeight w:val="195"/>
        </w:trPr>
        <w:tc>
          <w:tcPr>
            <w:tcW w:w="5437" w:type="dxa"/>
            <w:vAlign w:val="center"/>
          </w:tcPr>
          <w:p w:rsidR="000A7C01" w:rsidRPr="000A7C01" w:rsidRDefault="000A7C01" w:rsidP="000A7C01">
            <w:pPr>
              <w:pStyle w:val="Tablebody"/>
              <w:rPr>
                <w:sz w:val="22"/>
              </w:rPr>
            </w:pPr>
            <w:r w:rsidRPr="000A7C01">
              <w:rPr>
                <w:sz w:val="22"/>
              </w:rPr>
              <w:t>SLW notifies parents and professionals of receipt of request</w:t>
            </w:r>
          </w:p>
        </w:tc>
        <w:tc>
          <w:tcPr>
            <w:tcW w:w="4594" w:type="dxa"/>
            <w:vAlign w:val="center"/>
          </w:tcPr>
          <w:p w:rsidR="000A7C01" w:rsidRPr="000A7C01" w:rsidRDefault="000A7C01" w:rsidP="000A7C01">
            <w:pPr>
              <w:pStyle w:val="Tablebody"/>
              <w:rPr>
                <w:sz w:val="22"/>
              </w:rPr>
            </w:pPr>
          </w:p>
        </w:tc>
      </w:tr>
      <w:tr w:rsidR="00150764" w:rsidTr="00382DF6">
        <w:trPr>
          <w:trHeight w:val="195"/>
        </w:trPr>
        <w:tc>
          <w:tcPr>
            <w:tcW w:w="5437" w:type="dxa"/>
            <w:vAlign w:val="center"/>
          </w:tcPr>
          <w:p w:rsidR="00150764" w:rsidRPr="000A7C01" w:rsidRDefault="00150764" w:rsidP="00191A37">
            <w:pPr>
              <w:pStyle w:val="Tablebody"/>
              <w:rPr>
                <w:sz w:val="22"/>
              </w:rPr>
            </w:pPr>
            <w:r w:rsidRPr="000A7C01">
              <w:rPr>
                <w:sz w:val="22"/>
              </w:rPr>
              <w:t xml:space="preserve">SLW </w:t>
            </w:r>
            <w:r>
              <w:rPr>
                <w:sz w:val="22"/>
              </w:rPr>
              <w:t xml:space="preserve">liaises </w:t>
            </w:r>
            <w:r w:rsidR="009F4CA5">
              <w:rPr>
                <w:sz w:val="22"/>
              </w:rPr>
              <w:t xml:space="preserve">with setting to set a date </w:t>
            </w:r>
            <w:r w:rsidR="009F4CA5" w:rsidRPr="002D2478">
              <w:rPr>
                <w:sz w:val="22"/>
              </w:rPr>
              <w:t>for</w:t>
            </w:r>
            <w:r w:rsidR="00927EA5">
              <w:rPr>
                <w:sz w:val="22"/>
              </w:rPr>
              <w:t xml:space="preserve"> a plan outcomes</w:t>
            </w:r>
            <w:r w:rsidRPr="002D2478">
              <w:rPr>
                <w:sz w:val="22"/>
              </w:rPr>
              <w:t xml:space="preserve"> meeting</w:t>
            </w:r>
            <w:r w:rsidRPr="002D2478">
              <w:rPr>
                <w:b/>
                <w:sz w:val="22"/>
              </w:rPr>
              <w:t xml:space="preserve"> </w:t>
            </w:r>
            <w:r>
              <w:rPr>
                <w:sz w:val="22"/>
              </w:rPr>
              <w:t>normally held in the setting</w:t>
            </w:r>
            <w:r w:rsidRPr="000A7C01">
              <w:rPr>
                <w:sz w:val="22"/>
              </w:rPr>
              <w:t xml:space="preserve">; in the event of a </w:t>
            </w:r>
            <w:r w:rsidR="009F4CA5">
              <w:rPr>
                <w:sz w:val="22"/>
              </w:rPr>
              <w:t>“</w:t>
            </w:r>
            <w:r w:rsidRPr="000A7C01">
              <w:rPr>
                <w:sz w:val="22"/>
              </w:rPr>
              <w:t>No</w:t>
            </w:r>
            <w:r w:rsidR="009F4CA5">
              <w:rPr>
                <w:sz w:val="22"/>
              </w:rPr>
              <w:t>”</w:t>
            </w:r>
            <w:r w:rsidRPr="000A7C01">
              <w:rPr>
                <w:sz w:val="22"/>
              </w:rPr>
              <w:t xml:space="preserve"> decision</w:t>
            </w:r>
            <w:r w:rsidR="00EB0D74">
              <w:rPr>
                <w:sz w:val="22"/>
              </w:rPr>
              <w:t>,</w:t>
            </w:r>
            <w:r w:rsidRPr="000A7C01">
              <w:rPr>
                <w:sz w:val="22"/>
              </w:rPr>
              <w:t xml:space="preserve"> this meeting can be used to explain this to parents and s</w:t>
            </w:r>
            <w:r w:rsidR="002D2478">
              <w:rPr>
                <w:sz w:val="22"/>
              </w:rPr>
              <w:t>etting staff</w:t>
            </w:r>
          </w:p>
        </w:tc>
        <w:tc>
          <w:tcPr>
            <w:tcW w:w="4594" w:type="dxa"/>
          </w:tcPr>
          <w:p w:rsidR="00150764" w:rsidRPr="00150764" w:rsidRDefault="00150764" w:rsidP="002D2478">
            <w:pPr>
              <w:pStyle w:val="Tablebody"/>
              <w:rPr>
                <w:sz w:val="22"/>
              </w:rPr>
            </w:pPr>
            <w:r w:rsidRPr="00150764">
              <w:rPr>
                <w:sz w:val="22"/>
              </w:rPr>
              <w:t>Liaise with SLW, parents and key professionals about suitable dates which are in keeping with the statutory timescales</w:t>
            </w:r>
            <w:r w:rsidR="009F4CA5">
              <w:rPr>
                <w:sz w:val="22"/>
              </w:rPr>
              <w:t xml:space="preserve">.  </w:t>
            </w:r>
          </w:p>
        </w:tc>
      </w:tr>
      <w:tr w:rsidR="00150764" w:rsidTr="002426B2">
        <w:trPr>
          <w:trHeight w:val="195"/>
        </w:trPr>
        <w:tc>
          <w:tcPr>
            <w:tcW w:w="5437" w:type="dxa"/>
            <w:shd w:val="clear" w:color="auto" w:fill="auto"/>
            <w:vAlign w:val="center"/>
          </w:tcPr>
          <w:p w:rsidR="00150764" w:rsidRPr="000A7C01" w:rsidRDefault="00150764" w:rsidP="000A7C01">
            <w:pPr>
              <w:pStyle w:val="Tablebody"/>
              <w:rPr>
                <w:sz w:val="22"/>
              </w:rPr>
            </w:pPr>
            <w:r w:rsidRPr="000A7C01">
              <w:rPr>
                <w:sz w:val="22"/>
              </w:rPr>
              <w:t>LA makes decision to assess or not</w:t>
            </w:r>
          </w:p>
        </w:tc>
        <w:tc>
          <w:tcPr>
            <w:tcW w:w="4594" w:type="dxa"/>
            <w:shd w:val="clear" w:color="auto" w:fill="auto"/>
            <w:vAlign w:val="center"/>
          </w:tcPr>
          <w:p w:rsidR="00150764" w:rsidRPr="000A7C01" w:rsidRDefault="00150764" w:rsidP="000A7C01">
            <w:pPr>
              <w:pStyle w:val="Tablebody"/>
              <w:rPr>
                <w:sz w:val="22"/>
              </w:rPr>
            </w:pPr>
          </w:p>
        </w:tc>
      </w:tr>
      <w:tr w:rsidR="00150764" w:rsidTr="000A7C01">
        <w:trPr>
          <w:trHeight w:val="195"/>
        </w:trPr>
        <w:tc>
          <w:tcPr>
            <w:tcW w:w="5437" w:type="dxa"/>
            <w:vAlign w:val="center"/>
          </w:tcPr>
          <w:p w:rsidR="00150764" w:rsidRPr="000A7C01" w:rsidRDefault="00150764" w:rsidP="000A7C01">
            <w:pPr>
              <w:pStyle w:val="Tablebody"/>
              <w:rPr>
                <w:sz w:val="22"/>
              </w:rPr>
            </w:pPr>
            <w:r>
              <w:rPr>
                <w:sz w:val="22"/>
              </w:rPr>
              <w:t xml:space="preserve">If LA agrees to EHC needs assessment, </w:t>
            </w:r>
            <w:r w:rsidRPr="000A7C01">
              <w:rPr>
                <w:sz w:val="22"/>
              </w:rPr>
              <w:t>SLW requests updates from involved professionals for response within 6 weeks</w:t>
            </w:r>
          </w:p>
        </w:tc>
        <w:tc>
          <w:tcPr>
            <w:tcW w:w="4594" w:type="dxa"/>
            <w:vAlign w:val="center"/>
          </w:tcPr>
          <w:p w:rsidR="00150764" w:rsidRPr="000A7C01" w:rsidRDefault="00150764" w:rsidP="000A7C01">
            <w:pPr>
              <w:pStyle w:val="Tablebody"/>
              <w:rPr>
                <w:sz w:val="22"/>
              </w:rPr>
            </w:pPr>
            <w:r w:rsidRPr="000A7C01">
              <w:rPr>
                <w:sz w:val="22"/>
              </w:rPr>
              <w:t xml:space="preserve">The SLW must </w:t>
            </w:r>
            <w:r w:rsidR="002D2478">
              <w:rPr>
                <w:sz w:val="22"/>
              </w:rPr>
              <w:t>discuss with parents, YP, setting staff</w:t>
            </w:r>
            <w:r w:rsidRPr="000A7C01">
              <w:rPr>
                <w:sz w:val="22"/>
              </w:rPr>
              <w:t xml:space="preserve"> and these professionals what further advice, in addition to the prescribed advice, is required for a full assessment and the sufficiency of existing reports</w:t>
            </w:r>
          </w:p>
        </w:tc>
      </w:tr>
      <w:tr w:rsidR="00150764" w:rsidTr="00382DF6">
        <w:trPr>
          <w:trHeight w:val="195"/>
        </w:trPr>
        <w:tc>
          <w:tcPr>
            <w:tcW w:w="5437" w:type="dxa"/>
          </w:tcPr>
          <w:p w:rsidR="00150764" w:rsidRDefault="00150764" w:rsidP="00150764">
            <w:pPr>
              <w:pStyle w:val="Tablebody"/>
              <w:rPr>
                <w:rFonts w:ascii="Arial" w:hAnsi="Arial"/>
              </w:rPr>
            </w:pPr>
            <w:r w:rsidRPr="00150764">
              <w:rPr>
                <w:sz w:val="22"/>
              </w:rPr>
              <w:t xml:space="preserve">SLW, setting staff, parents and other invited key professionals hold a </w:t>
            </w:r>
            <w:r w:rsidRPr="002D2478">
              <w:rPr>
                <w:sz w:val="22"/>
              </w:rPr>
              <w:t>plan drafting meeting</w:t>
            </w:r>
          </w:p>
        </w:tc>
        <w:tc>
          <w:tcPr>
            <w:tcW w:w="4594" w:type="dxa"/>
            <w:vAlign w:val="center"/>
          </w:tcPr>
          <w:p w:rsidR="00150764" w:rsidRPr="000A7C01" w:rsidRDefault="00150764" w:rsidP="000A7C01">
            <w:pPr>
              <w:pStyle w:val="Tablebody"/>
              <w:rPr>
                <w:sz w:val="22"/>
              </w:rPr>
            </w:pPr>
            <w:r w:rsidRPr="00150764">
              <w:rPr>
                <w:sz w:val="22"/>
              </w:rPr>
              <w:t>(The length and complexity of this meeting will depend on the detail contained in the My Support Plan and the degree to which professionals, parents or the young person have updated their advice; the My Plan will have been pre-drafted to save time at the meeting)</w:t>
            </w:r>
          </w:p>
        </w:tc>
      </w:tr>
      <w:tr w:rsidR="00150764" w:rsidTr="000A7C01">
        <w:trPr>
          <w:trHeight w:val="195"/>
        </w:trPr>
        <w:tc>
          <w:tcPr>
            <w:tcW w:w="5437" w:type="dxa"/>
            <w:vAlign w:val="center"/>
          </w:tcPr>
          <w:p w:rsidR="00150764" w:rsidRPr="000A7C01" w:rsidRDefault="00150764" w:rsidP="000A7C01">
            <w:pPr>
              <w:pStyle w:val="Tablebody"/>
              <w:rPr>
                <w:sz w:val="22"/>
              </w:rPr>
            </w:pPr>
            <w:r w:rsidRPr="000A7C01">
              <w:rPr>
                <w:sz w:val="22"/>
              </w:rPr>
              <w:t>Draft plan with appendices (without placement) presented to SEN Panel by SLW</w:t>
            </w:r>
          </w:p>
        </w:tc>
        <w:tc>
          <w:tcPr>
            <w:tcW w:w="4594" w:type="dxa"/>
            <w:vAlign w:val="center"/>
          </w:tcPr>
          <w:p w:rsidR="00150764" w:rsidRPr="000A7C01" w:rsidRDefault="00150764" w:rsidP="000A7C01">
            <w:pPr>
              <w:pStyle w:val="Tablebody"/>
              <w:rPr>
                <w:sz w:val="22"/>
              </w:rPr>
            </w:pPr>
            <w:r>
              <w:rPr>
                <w:sz w:val="22"/>
              </w:rPr>
              <w:t>(SEN panel decision about draft plan and placement)</w:t>
            </w:r>
          </w:p>
        </w:tc>
      </w:tr>
      <w:tr w:rsidR="00150764" w:rsidTr="000A7C01">
        <w:trPr>
          <w:trHeight w:val="195"/>
        </w:trPr>
        <w:tc>
          <w:tcPr>
            <w:tcW w:w="5437" w:type="dxa"/>
            <w:vAlign w:val="center"/>
          </w:tcPr>
          <w:p w:rsidR="00150764" w:rsidRPr="000A7C01" w:rsidRDefault="00150764" w:rsidP="000A7C01">
            <w:pPr>
              <w:pStyle w:val="Tablebody"/>
              <w:rPr>
                <w:sz w:val="22"/>
              </w:rPr>
            </w:pPr>
            <w:r w:rsidRPr="000A7C01">
              <w:rPr>
                <w:sz w:val="22"/>
              </w:rPr>
              <w:t>SLW notifies parents and formally sends out draft EHCP</w:t>
            </w:r>
          </w:p>
        </w:tc>
        <w:tc>
          <w:tcPr>
            <w:tcW w:w="4594" w:type="dxa"/>
            <w:vAlign w:val="center"/>
          </w:tcPr>
          <w:p w:rsidR="00150764" w:rsidRPr="000A7C01" w:rsidRDefault="00150764" w:rsidP="000A7C01">
            <w:pPr>
              <w:pStyle w:val="Tablebody"/>
              <w:rPr>
                <w:sz w:val="22"/>
              </w:rPr>
            </w:pPr>
          </w:p>
        </w:tc>
      </w:tr>
      <w:tr w:rsidR="00150764" w:rsidTr="000A7C01">
        <w:trPr>
          <w:trHeight w:val="195"/>
        </w:trPr>
        <w:tc>
          <w:tcPr>
            <w:tcW w:w="5437" w:type="dxa"/>
            <w:vAlign w:val="center"/>
          </w:tcPr>
          <w:p w:rsidR="00150764" w:rsidRPr="000A7C01" w:rsidRDefault="00150764" w:rsidP="000A7C01">
            <w:pPr>
              <w:pStyle w:val="Tablebody"/>
              <w:rPr>
                <w:sz w:val="22"/>
              </w:rPr>
            </w:pPr>
            <w:r w:rsidRPr="000A7C01">
              <w:rPr>
                <w:sz w:val="22"/>
              </w:rPr>
              <w:t>SLW consults with placement</w:t>
            </w:r>
            <w:r>
              <w:rPr>
                <w:sz w:val="22"/>
              </w:rPr>
              <w:t xml:space="preserve"> and issues final EHCP</w:t>
            </w:r>
          </w:p>
        </w:tc>
        <w:tc>
          <w:tcPr>
            <w:tcW w:w="4594" w:type="dxa"/>
            <w:vAlign w:val="center"/>
          </w:tcPr>
          <w:p w:rsidR="00150764" w:rsidRPr="000A7C01" w:rsidRDefault="00150764" w:rsidP="000A7C01">
            <w:pPr>
              <w:pStyle w:val="Tablebody"/>
              <w:rPr>
                <w:sz w:val="22"/>
              </w:rPr>
            </w:pPr>
          </w:p>
        </w:tc>
      </w:tr>
    </w:tbl>
    <w:p w:rsidR="002370A2" w:rsidRDefault="002370A2">
      <w:pPr>
        <w:spacing w:after="200" w:line="276" w:lineRule="auto"/>
        <w:ind w:left="0" w:right="0"/>
      </w:pPr>
      <w:r>
        <w:br w:type="page"/>
      </w:r>
    </w:p>
    <w:p w:rsidR="00350B5A" w:rsidRDefault="00350B5A" w:rsidP="00350B5A">
      <w:pPr>
        <w:pStyle w:val="In-pageheading"/>
        <w:rPr>
          <w:sz w:val="24"/>
          <w:szCs w:val="24"/>
        </w:rPr>
      </w:pPr>
      <w:r>
        <w:lastRenderedPageBreak/>
        <w:t>Parental request</w:t>
      </w:r>
    </w:p>
    <w:tbl>
      <w:tblPr>
        <w:tblStyle w:val="TableGrid"/>
        <w:tblW w:w="10031" w:type="dxa"/>
        <w:tblInd w:w="-176" w:type="dxa"/>
        <w:tblLook w:val="04A0"/>
      </w:tblPr>
      <w:tblGrid>
        <w:gridCol w:w="5437"/>
        <w:gridCol w:w="4594"/>
      </w:tblGrid>
      <w:tr w:rsidR="00350B5A" w:rsidTr="00350B5A">
        <w:trPr>
          <w:trHeight w:val="195"/>
        </w:trPr>
        <w:tc>
          <w:tcPr>
            <w:tcW w:w="5437" w:type="dxa"/>
            <w:shd w:val="clear" w:color="auto" w:fill="1F497D" w:themeFill="text2"/>
          </w:tcPr>
          <w:p w:rsidR="00350B5A" w:rsidRDefault="00350B5A" w:rsidP="00350B5A">
            <w:pPr>
              <w:pStyle w:val="Tableheading1"/>
            </w:pPr>
            <w:r>
              <w:t>Step</w:t>
            </w:r>
          </w:p>
        </w:tc>
        <w:tc>
          <w:tcPr>
            <w:tcW w:w="4594" w:type="dxa"/>
            <w:shd w:val="clear" w:color="auto" w:fill="1F497D" w:themeFill="text2"/>
          </w:tcPr>
          <w:p w:rsidR="00350B5A" w:rsidRDefault="00350B5A" w:rsidP="00350B5A">
            <w:pPr>
              <w:pStyle w:val="Tableheading1"/>
            </w:pPr>
            <w:r>
              <w:t>Action</w:t>
            </w:r>
          </w:p>
        </w:tc>
      </w:tr>
      <w:tr w:rsidR="00350B5A" w:rsidTr="00350B5A">
        <w:trPr>
          <w:trHeight w:val="195"/>
        </w:trPr>
        <w:tc>
          <w:tcPr>
            <w:tcW w:w="5437" w:type="dxa"/>
          </w:tcPr>
          <w:p w:rsidR="00350B5A" w:rsidRPr="000A7C01" w:rsidRDefault="00350B5A" w:rsidP="00350B5A">
            <w:pPr>
              <w:pStyle w:val="Tablebody"/>
            </w:pPr>
            <w:r w:rsidRPr="000A7C01">
              <w:t>Parental request for EHC needs assessment received by SEND Service</w:t>
            </w:r>
          </w:p>
        </w:tc>
        <w:tc>
          <w:tcPr>
            <w:tcW w:w="4594" w:type="dxa"/>
          </w:tcPr>
          <w:p w:rsidR="00350B5A" w:rsidRPr="000A7C01" w:rsidRDefault="00150764" w:rsidP="00350B5A">
            <w:pPr>
              <w:pStyle w:val="Tablebody"/>
            </w:pPr>
            <w:r>
              <w:t>Start of statutory timescale</w:t>
            </w:r>
          </w:p>
        </w:tc>
      </w:tr>
      <w:tr w:rsidR="00350B5A" w:rsidTr="00350B5A">
        <w:trPr>
          <w:trHeight w:val="195"/>
        </w:trPr>
        <w:tc>
          <w:tcPr>
            <w:tcW w:w="5437" w:type="dxa"/>
          </w:tcPr>
          <w:p w:rsidR="00350B5A" w:rsidRPr="000A7C01" w:rsidRDefault="00350B5A" w:rsidP="008E5819">
            <w:pPr>
              <w:pStyle w:val="Tablebody"/>
            </w:pPr>
            <w:r w:rsidRPr="000A7C01">
              <w:t>SLW acknowledges receipt to parents</w:t>
            </w:r>
            <w:r w:rsidR="00150764">
              <w:t xml:space="preserve"> </w:t>
            </w:r>
            <w:r w:rsidRPr="000A7C01">
              <w:t>and notifies professionals of receipt of request</w:t>
            </w:r>
          </w:p>
        </w:tc>
        <w:tc>
          <w:tcPr>
            <w:tcW w:w="4594" w:type="dxa"/>
          </w:tcPr>
          <w:p w:rsidR="00350B5A" w:rsidRPr="000A7C01" w:rsidRDefault="00350B5A" w:rsidP="00350B5A">
            <w:pPr>
              <w:pStyle w:val="Tablebody"/>
            </w:pPr>
          </w:p>
        </w:tc>
      </w:tr>
      <w:tr w:rsidR="00350B5A" w:rsidTr="00350B5A">
        <w:trPr>
          <w:trHeight w:val="195"/>
        </w:trPr>
        <w:tc>
          <w:tcPr>
            <w:tcW w:w="5437" w:type="dxa"/>
          </w:tcPr>
          <w:p w:rsidR="00350B5A" w:rsidRPr="000A7C01" w:rsidRDefault="00150764" w:rsidP="00350B5A">
            <w:pPr>
              <w:pStyle w:val="Tablebody"/>
            </w:pPr>
            <w:r>
              <w:t>SLW asks</w:t>
            </w:r>
            <w:r w:rsidR="00350B5A" w:rsidRPr="000A7C01">
              <w:t xml:space="preserve"> setting to organise a</w:t>
            </w:r>
            <w:r w:rsidR="009F4CA5">
              <w:t xml:space="preserve">n </w:t>
            </w:r>
            <w:r w:rsidR="009F4CA5" w:rsidRPr="009F4CA5">
              <w:rPr>
                <w:b/>
              </w:rPr>
              <w:t>SEN Support</w:t>
            </w:r>
            <w:r w:rsidR="00350B5A" w:rsidRPr="000A7C01">
              <w:t xml:space="preserve"> </w:t>
            </w:r>
            <w:r w:rsidR="009F4CA5">
              <w:t>“</w:t>
            </w:r>
            <w:r w:rsidR="00350B5A" w:rsidRPr="00172524">
              <w:rPr>
                <w:b/>
              </w:rPr>
              <w:t>My Support Plan</w:t>
            </w:r>
            <w:r w:rsidR="009F4CA5">
              <w:rPr>
                <w:b/>
              </w:rPr>
              <w:t>”</w:t>
            </w:r>
            <w:r w:rsidR="00350B5A" w:rsidRPr="00172524">
              <w:rPr>
                <w:b/>
              </w:rPr>
              <w:t xml:space="preserve"> Meeting</w:t>
            </w:r>
            <w:r w:rsidR="009F4CA5">
              <w:rPr>
                <w:b/>
              </w:rPr>
              <w:t xml:space="preserve"> </w:t>
            </w:r>
            <w:r w:rsidR="009F4CA5" w:rsidRPr="002D2478">
              <w:t>and informs of timescales for response</w:t>
            </w:r>
          </w:p>
        </w:tc>
        <w:tc>
          <w:tcPr>
            <w:tcW w:w="4594" w:type="dxa"/>
          </w:tcPr>
          <w:p w:rsidR="00350B5A" w:rsidRPr="000A7C01" w:rsidRDefault="009F4CA5" w:rsidP="00350B5A">
            <w:pPr>
              <w:pStyle w:val="Tablebody"/>
            </w:pPr>
            <w:r>
              <w:t>Setting sends My Support Plan to SEND Service (If an MSP already exists then it may require updating)</w:t>
            </w:r>
          </w:p>
        </w:tc>
      </w:tr>
      <w:tr w:rsidR="00350B5A" w:rsidTr="00350B5A">
        <w:trPr>
          <w:trHeight w:val="195"/>
        </w:trPr>
        <w:tc>
          <w:tcPr>
            <w:tcW w:w="5437" w:type="dxa"/>
          </w:tcPr>
          <w:p w:rsidR="00350B5A" w:rsidRPr="000A7C01" w:rsidRDefault="00350B5A" w:rsidP="00350B5A">
            <w:pPr>
              <w:pStyle w:val="Tablebody"/>
            </w:pPr>
            <w:r w:rsidRPr="000A7C01">
              <w:t xml:space="preserve">LA receives </w:t>
            </w:r>
            <w:r w:rsidRPr="00172524">
              <w:rPr>
                <w:b/>
              </w:rPr>
              <w:t>My Support Plan</w:t>
            </w:r>
            <w:r w:rsidRPr="000A7C01">
              <w:t xml:space="preserve"> and any other information in order to make a decision to assess or not </w:t>
            </w:r>
          </w:p>
        </w:tc>
        <w:tc>
          <w:tcPr>
            <w:tcW w:w="4594" w:type="dxa"/>
          </w:tcPr>
          <w:p w:rsidR="00350B5A" w:rsidRPr="000A7C01" w:rsidRDefault="009F4CA5" w:rsidP="00172524">
            <w:pPr>
              <w:pStyle w:val="Tablebody"/>
            </w:pPr>
            <w:r>
              <w:t>(</w:t>
            </w:r>
            <w:r w:rsidR="00350B5A" w:rsidRPr="000A7C01">
              <w:t xml:space="preserve">Then follow procedure above from </w:t>
            </w:r>
            <w:r w:rsidR="00172524">
              <w:t>‘</w:t>
            </w:r>
            <w:r w:rsidR="00350B5A" w:rsidRPr="000A7C01">
              <w:t xml:space="preserve">LA decision to </w:t>
            </w:r>
            <w:r w:rsidR="00172524">
              <w:t>assess’</w:t>
            </w:r>
            <w:r>
              <w:t>)</w:t>
            </w:r>
          </w:p>
        </w:tc>
      </w:tr>
    </w:tbl>
    <w:p w:rsidR="00350B5A" w:rsidRDefault="00350B5A" w:rsidP="00350B5A">
      <w:pPr>
        <w:ind w:right="141"/>
        <w:rPr>
          <w:sz w:val="24"/>
          <w:szCs w:val="24"/>
        </w:rPr>
      </w:pPr>
    </w:p>
    <w:p w:rsidR="00350B5A" w:rsidRDefault="00350B5A">
      <w:pPr>
        <w:spacing w:after="200" w:line="276" w:lineRule="auto"/>
        <w:ind w:left="0" w:right="0"/>
        <w:rPr>
          <w:sz w:val="24"/>
          <w:szCs w:val="24"/>
        </w:rPr>
      </w:pPr>
      <w:r>
        <w:rPr>
          <w:sz w:val="24"/>
          <w:szCs w:val="24"/>
        </w:rPr>
        <w:br w:type="page"/>
      </w:r>
    </w:p>
    <w:p w:rsidR="002370A2" w:rsidRDefault="002370A2" w:rsidP="00350B5A">
      <w:pPr>
        <w:spacing w:after="200" w:line="276" w:lineRule="auto"/>
        <w:ind w:right="0"/>
      </w:pPr>
      <w:bookmarkStart w:id="20" w:name="In_App_b_timescales"/>
      <w:bookmarkEnd w:id="20"/>
      <w:r>
        <w:lastRenderedPageBreak/>
        <w:t>Timescales</w:t>
      </w:r>
    </w:p>
    <w:tbl>
      <w:tblPr>
        <w:tblStyle w:val="TableGrid"/>
        <w:tblW w:w="10031" w:type="dxa"/>
        <w:tblInd w:w="-176" w:type="dxa"/>
        <w:tblLayout w:type="fixed"/>
        <w:tblLook w:val="04A0"/>
      </w:tblPr>
      <w:tblGrid>
        <w:gridCol w:w="6947"/>
        <w:gridCol w:w="1546"/>
        <w:gridCol w:w="1538"/>
      </w:tblGrid>
      <w:tr w:rsidR="00DF3387" w:rsidRPr="000A7C01" w:rsidTr="00350B5A">
        <w:trPr>
          <w:trHeight w:val="397"/>
        </w:trPr>
        <w:tc>
          <w:tcPr>
            <w:tcW w:w="8493" w:type="dxa"/>
            <w:gridSpan w:val="2"/>
            <w:shd w:val="clear" w:color="auto" w:fill="1F497D" w:themeFill="text2"/>
            <w:vAlign w:val="center"/>
          </w:tcPr>
          <w:p w:rsidR="00DF3387" w:rsidRPr="000A7C01" w:rsidRDefault="00DF3387" w:rsidP="00DF3387">
            <w:pPr>
              <w:pStyle w:val="Tableheading1"/>
            </w:pPr>
            <w:r w:rsidRPr="000A7C01">
              <w:t>Step</w:t>
            </w:r>
          </w:p>
        </w:tc>
        <w:tc>
          <w:tcPr>
            <w:tcW w:w="1538" w:type="dxa"/>
            <w:shd w:val="clear" w:color="auto" w:fill="1F497D" w:themeFill="text2"/>
            <w:vAlign w:val="center"/>
          </w:tcPr>
          <w:p w:rsidR="00DF3387" w:rsidRPr="000A7C01" w:rsidRDefault="00DF3387" w:rsidP="00DF3387">
            <w:pPr>
              <w:pStyle w:val="Tableheading1"/>
            </w:pPr>
            <w:r>
              <w:t>Weeks</w:t>
            </w:r>
          </w:p>
        </w:tc>
      </w:tr>
      <w:tr w:rsidR="00DF3387" w:rsidRPr="000A7C01" w:rsidTr="00350B5A">
        <w:trPr>
          <w:trHeight w:val="397"/>
        </w:trPr>
        <w:tc>
          <w:tcPr>
            <w:tcW w:w="8493" w:type="dxa"/>
            <w:gridSpan w:val="2"/>
            <w:shd w:val="clear" w:color="auto" w:fill="auto"/>
            <w:vAlign w:val="center"/>
          </w:tcPr>
          <w:p w:rsidR="00DF3387" w:rsidRPr="000A7C01" w:rsidRDefault="002D2478" w:rsidP="00DF3387">
            <w:pPr>
              <w:pStyle w:val="Tablebody"/>
            </w:pPr>
            <w:r>
              <w:rPr>
                <w:sz w:val="22"/>
              </w:rPr>
              <w:t>Setting</w:t>
            </w:r>
            <w:r w:rsidR="00DF3387" w:rsidRPr="000D605E">
              <w:rPr>
                <w:sz w:val="22"/>
              </w:rPr>
              <w:t xml:space="preserve"> contacts SPOC/SEND Lead worker.  </w:t>
            </w:r>
            <w:r w:rsidR="009F4CA5">
              <w:rPr>
                <w:sz w:val="22"/>
              </w:rPr>
              <w:t>SEN Support “</w:t>
            </w:r>
            <w:r w:rsidR="00DF3387" w:rsidRPr="000D605E">
              <w:rPr>
                <w:b/>
                <w:sz w:val="22"/>
              </w:rPr>
              <w:t>My Support Plan</w:t>
            </w:r>
            <w:r w:rsidR="009F4CA5">
              <w:rPr>
                <w:b/>
                <w:sz w:val="22"/>
              </w:rPr>
              <w:t>”</w:t>
            </w:r>
            <w:r w:rsidR="00DF3387" w:rsidRPr="000D605E">
              <w:rPr>
                <w:sz w:val="22"/>
              </w:rPr>
              <w:t xml:space="preserve"> meeting held.</w:t>
            </w:r>
          </w:p>
        </w:tc>
        <w:tc>
          <w:tcPr>
            <w:tcW w:w="1538" w:type="dxa"/>
            <w:shd w:val="clear" w:color="auto" w:fill="auto"/>
            <w:vAlign w:val="center"/>
          </w:tcPr>
          <w:p w:rsidR="00DF3387" w:rsidRPr="009725F9" w:rsidRDefault="00DF3387" w:rsidP="00DF3387">
            <w:pPr>
              <w:pStyle w:val="Tablebody"/>
              <w:rPr>
                <w:sz w:val="20"/>
              </w:rPr>
            </w:pPr>
            <w:r w:rsidRPr="009725F9">
              <w:rPr>
                <w:sz w:val="20"/>
              </w:rPr>
              <w:t>Pre-statutory</w:t>
            </w:r>
          </w:p>
        </w:tc>
      </w:tr>
      <w:tr w:rsidR="00DF3387" w:rsidRPr="000A7C01" w:rsidTr="00350B5A">
        <w:trPr>
          <w:trHeight w:val="397"/>
        </w:trPr>
        <w:tc>
          <w:tcPr>
            <w:tcW w:w="10031" w:type="dxa"/>
            <w:gridSpan w:val="3"/>
            <w:shd w:val="clear" w:color="auto" w:fill="C6D9F1" w:themeFill="text2" w:themeFillTint="33"/>
            <w:vAlign w:val="center"/>
          </w:tcPr>
          <w:p w:rsidR="00DF3387" w:rsidRPr="00350B5A" w:rsidRDefault="00DF3387" w:rsidP="00DF3387">
            <w:pPr>
              <w:pStyle w:val="Tablebody"/>
              <w:jc w:val="center"/>
              <w:rPr>
                <w:sz w:val="28"/>
              </w:rPr>
            </w:pPr>
            <w:r w:rsidRPr="00350B5A">
              <w:rPr>
                <w:sz w:val="28"/>
              </w:rPr>
              <w:t>Request received</w:t>
            </w:r>
          </w:p>
        </w:tc>
      </w:tr>
      <w:tr w:rsidR="00DF3387" w:rsidRPr="009725F9" w:rsidTr="00350B5A">
        <w:trPr>
          <w:trHeight w:val="397"/>
        </w:trPr>
        <w:tc>
          <w:tcPr>
            <w:tcW w:w="8493" w:type="dxa"/>
            <w:gridSpan w:val="2"/>
            <w:vMerge w:val="restart"/>
            <w:vAlign w:val="center"/>
          </w:tcPr>
          <w:p w:rsidR="00DF3387" w:rsidRPr="00DF3387" w:rsidRDefault="00DF3387" w:rsidP="00DF3387">
            <w:pPr>
              <w:pStyle w:val="Tablebody"/>
              <w:rPr>
                <w:sz w:val="28"/>
              </w:rPr>
            </w:pPr>
            <w:r w:rsidRPr="00DF3387">
              <w:rPr>
                <w:sz w:val="28"/>
              </w:rPr>
              <w:t>Decide whether to assess</w:t>
            </w:r>
          </w:p>
          <w:p w:rsidR="00DF3387" w:rsidRPr="000A7C01" w:rsidRDefault="00DF3387" w:rsidP="001974BB">
            <w:pPr>
              <w:pStyle w:val="Tablebody"/>
              <w:rPr>
                <w:sz w:val="22"/>
              </w:rPr>
            </w:pPr>
            <w:r w:rsidRPr="00DF3387">
              <w:rPr>
                <w:sz w:val="22"/>
              </w:rPr>
              <w:t>Parents and or C</w:t>
            </w:r>
            <w:r w:rsidR="001974BB">
              <w:rPr>
                <w:sz w:val="22"/>
              </w:rPr>
              <w:t>hild</w:t>
            </w:r>
            <w:r w:rsidRPr="00DF3387">
              <w:rPr>
                <w:sz w:val="22"/>
              </w:rPr>
              <w:t xml:space="preserve"> must be consulted</w:t>
            </w:r>
          </w:p>
        </w:tc>
        <w:tc>
          <w:tcPr>
            <w:tcW w:w="1538" w:type="dxa"/>
            <w:vAlign w:val="center"/>
          </w:tcPr>
          <w:p w:rsidR="00DF3387" w:rsidRPr="009725F9" w:rsidRDefault="00DF3387" w:rsidP="00DF3387">
            <w:pPr>
              <w:pStyle w:val="Tablebody"/>
              <w:jc w:val="center"/>
            </w:pPr>
            <w:r w:rsidRPr="009725F9">
              <w:t>1</w:t>
            </w:r>
          </w:p>
        </w:tc>
      </w:tr>
      <w:tr w:rsidR="00DF3387" w:rsidRPr="009725F9" w:rsidTr="00350B5A">
        <w:trPr>
          <w:trHeight w:val="397"/>
        </w:trPr>
        <w:tc>
          <w:tcPr>
            <w:tcW w:w="8493" w:type="dxa"/>
            <w:gridSpan w:val="2"/>
            <w:vMerge/>
            <w:vAlign w:val="center"/>
          </w:tcPr>
          <w:p w:rsidR="00DF3387" w:rsidRPr="000A7C01" w:rsidRDefault="00DF3387" w:rsidP="00DF3387">
            <w:pPr>
              <w:pStyle w:val="Tablebody"/>
              <w:rPr>
                <w:sz w:val="22"/>
              </w:rPr>
            </w:pPr>
          </w:p>
        </w:tc>
        <w:tc>
          <w:tcPr>
            <w:tcW w:w="1538" w:type="dxa"/>
            <w:vAlign w:val="center"/>
          </w:tcPr>
          <w:p w:rsidR="00DF3387" w:rsidRPr="009725F9" w:rsidRDefault="00DF3387" w:rsidP="00DF3387">
            <w:pPr>
              <w:pStyle w:val="Tablebody"/>
              <w:jc w:val="center"/>
            </w:pPr>
            <w:r w:rsidRPr="009725F9">
              <w:t>2</w:t>
            </w:r>
          </w:p>
        </w:tc>
      </w:tr>
      <w:tr w:rsidR="00DF3387" w:rsidRPr="009725F9" w:rsidTr="00350B5A">
        <w:trPr>
          <w:trHeight w:val="397"/>
        </w:trPr>
        <w:tc>
          <w:tcPr>
            <w:tcW w:w="8493" w:type="dxa"/>
            <w:gridSpan w:val="2"/>
            <w:vMerge/>
            <w:shd w:val="clear" w:color="auto" w:fill="auto"/>
            <w:vAlign w:val="center"/>
          </w:tcPr>
          <w:p w:rsidR="00DF3387" w:rsidRPr="000A7C01" w:rsidRDefault="00DF3387" w:rsidP="00DF3387">
            <w:pPr>
              <w:pStyle w:val="Tablebody"/>
              <w:rPr>
                <w:sz w:val="22"/>
              </w:rPr>
            </w:pPr>
          </w:p>
        </w:tc>
        <w:tc>
          <w:tcPr>
            <w:tcW w:w="1538" w:type="dxa"/>
            <w:shd w:val="clear" w:color="auto" w:fill="auto"/>
            <w:vAlign w:val="center"/>
          </w:tcPr>
          <w:p w:rsidR="00DF3387" w:rsidRPr="009725F9" w:rsidRDefault="00DF3387" w:rsidP="00DF3387">
            <w:pPr>
              <w:pStyle w:val="Tablebody"/>
              <w:jc w:val="center"/>
            </w:pPr>
            <w:r w:rsidRPr="009725F9">
              <w:t>3</w:t>
            </w:r>
          </w:p>
        </w:tc>
      </w:tr>
      <w:tr w:rsidR="00DF3387" w:rsidRPr="009725F9" w:rsidTr="009725F9">
        <w:trPr>
          <w:trHeight w:val="397"/>
        </w:trPr>
        <w:tc>
          <w:tcPr>
            <w:tcW w:w="8493" w:type="dxa"/>
            <w:gridSpan w:val="2"/>
            <w:vMerge/>
            <w:vAlign w:val="center"/>
          </w:tcPr>
          <w:p w:rsidR="00DF3387" w:rsidRPr="000A7C01" w:rsidRDefault="00DF3387" w:rsidP="00DF3387">
            <w:pPr>
              <w:pStyle w:val="Tablebody"/>
              <w:rPr>
                <w:sz w:val="22"/>
              </w:rPr>
            </w:pPr>
          </w:p>
        </w:tc>
        <w:tc>
          <w:tcPr>
            <w:tcW w:w="1538" w:type="dxa"/>
            <w:tcBorders>
              <w:bottom w:val="single" w:sz="4" w:space="0" w:color="auto"/>
            </w:tcBorders>
            <w:vAlign w:val="center"/>
          </w:tcPr>
          <w:p w:rsidR="00DF3387" w:rsidRPr="009725F9" w:rsidRDefault="00DF3387" w:rsidP="00DF3387">
            <w:pPr>
              <w:pStyle w:val="Tablebody"/>
              <w:jc w:val="center"/>
            </w:pPr>
            <w:r w:rsidRPr="009725F9">
              <w:t>4</w:t>
            </w:r>
          </w:p>
        </w:tc>
      </w:tr>
      <w:tr w:rsidR="00DF3387" w:rsidRPr="009725F9" w:rsidTr="009725F9">
        <w:trPr>
          <w:trHeight w:val="397"/>
        </w:trPr>
        <w:tc>
          <w:tcPr>
            <w:tcW w:w="8493" w:type="dxa"/>
            <w:gridSpan w:val="2"/>
            <w:vMerge/>
            <w:tcBorders>
              <w:bottom w:val="nil"/>
            </w:tcBorders>
            <w:vAlign w:val="center"/>
          </w:tcPr>
          <w:p w:rsidR="00DF3387" w:rsidRPr="000A7C01" w:rsidRDefault="00DF3387" w:rsidP="00DF3387">
            <w:pPr>
              <w:pStyle w:val="Tablebody"/>
              <w:rPr>
                <w:sz w:val="22"/>
              </w:rPr>
            </w:pPr>
          </w:p>
        </w:tc>
        <w:tc>
          <w:tcPr>
            <w:tcW w:w="1538" w:type="dxa"/>
            <w:tcBorders>
              <w:bottom w:val="single" w:sz="4" w:space="0" w:color="auto"/>
            </w:tcBorders>
            <w:vAlign w:val="center"/>
          </w:tcPr>
          <w:p w:rsidR="00DF3387" w:rsidRPr="009725F9" w:rsidRDefault="00DF3387" w:rsidP="00DF3387">
            <w:pPr>
              <w:pStyle w:val="Tablebody"/>
              <w:jc w:val="center"/>
            </w:pPr>
            <w:r w:rsidRPr="009725F9">
              <w:t>5</w:t>
            </w:r>
          </w:p>
        </w:tc>
      </w:tr>
      <w:tr w:rsidR="00DF3387" w:rsidRPr="009725F9" w:rsidTr="009725F9">
        <w:trPr>
          <w:trHeight w:val="397"/>
        </w:trPr>
        <w:tc>
          <w:tcPr>
            <w:tcW w:w="8493" w:type="dxa"/>
            <w:gridSpan w:val="2"/>
            <w:tcBorders>
              <w:top w:val="nil"/>
              <w:bottom w:val="single" w:sz="24" w:space="0" w:color="auto"/>
              <w:right w:val="single" w:sz="4" w:space="0" w:color="auto"/>
            </w:tcBorders>
            <w:vAlign w:val="bottom"/>
          </w:tcPr>
          <w:p w:rsidR="00DF3387" w:rsidRPr="000A7C01" w:rsidRDefault="00DF3387" w:rsidP="001974BB">
            <w:pPr>
              <w:pStyle w:val="Tablebody"/>
              <w:rPr>
                <w:sz w:val="22"/>
              </w:rPr>
            </w:pPr>
            <w:r>
              <w:rPr>
                <w:sz w:val="22"/>
              </w:rPr>
              <w:t>Latest LA can i</w:t>
            </w:r>
            <w:r w:rsidR="000D605E">
              <w:rPr>
                <w:sz w:val="22"/>
              </w:rPr>
              <w:t>nform parents and/or C</w:t>
            </w:r>
            <w:r w:rsidR="001974BB">
              <w:rPr>
                <w:sz w:val="22"/>
              </w:rPr>
              <w:t>hild</w:t>
            </w:r>
            <w:r w:rsidR="000D605E">
              <w:rPr>
                <w:sz w:val="22"/>
              </w:rPr>
              <w:t xml:space="preserve"> of the</w:t>
            </w:r>
            <w:r>
              <w:rPr>
                <w:sz w:val="22"/>
              </w:rPr>
              <w:t xml:space="preserve"> decision</w:t>
            </w:r>
          </w:p>
        </w:tc>
        <w:tc>
          <w:tcPr>
            <w:tcW w:w="1538" w:type="dxa"/>
            <w:tcBorders>
              <w:top w:val="single" w:sz="4" w:space="0" w:color="auto"/>
              <w:left w:val="single" w:sz="4" w:space="0" w:color="auto"/>
              <w:bottom w:val="single" w:sz="24" w:space="0" w:color="auto"/>
            </w:tcBorders>
            <w:vAlign w:val="center"/>
          </w:tcPr>
          <w:p w:rsidR="00DF3387" w:rsidRPr="009725F9" w:rsidRDefault="00DF3387" w:rsidP="00DF3387">
            <w:pPr>
              <w:pStyle w:val="Tablebody"/>
              <w:jc w:val="center"/>
            </w:pPr>
            <w:r w:rsidRPr="009725F9">
              <w:t>6</w:t>
            </w:r>
          </w:p>
        </w:tc>
      </w:tr>
      <w:tr w:rsidR="00DF3387" w:rsidRPr="009725F9" w:rsidTr="00350B5A">
        <w:trPr>
          <w:trHeight w:val="397"/>
        </w:trPr>
        <w:tc>
          <w:tcPr>
            <w:tcW w:w="10031" w:type="dxa"/>
            <w:gridSpan w:val="3"/>
            <w:tcBorders>
              <w:top w:val="single" w:sz="24" w:space="0" w:color="auto"/>
            </w:tcBorders>
            <w:shd w:val="clear" w:color="auto" w:fill="C6D9F1" w:themeFill="text2" w:themeFillTint="33"/>
            <w:vAlign w:val="center"/>
          </w:tcPr>
          <w:p w:rsidR="00DF3387" w:rsidRPr="009725F9" w:rsidRDefault="00DF3387" w:rsidP="00DF3387">
            <w:pPr>
              <w:pStyle w:val="Tablebody"/>
              <w:jc w:val="center"/>
            </w:pPr>
            <w:r w:rsidRPr="009725F9">
              <w:rPr>
                <w:sz w:val="28"/>
              </w:rPr>
              <w:t>If agreed:</w:t>
            </w:r>
          </w:p>
        </w:tc>
      </w:tr>
      <w:tr w:rsidR="000D605E" w:rsidRPr="009725F9" w:rsidTr="00350B5A">
        <w:trPr>
          <w:trHeight w:val="397"/>
        </w:trPr>
        <w:tc>
          <w:tcPr>
            <w:tcW w:w="8493" w:type="dxa"/>
            <w:gridSpan w:val="2"/>
            <w:vMerge w:val="restart"/>
            <w:vAlign w:val="center"/>
          </w:tcPr>
          <w:p w:rsidR="000D605E" w:rsidRDefault="000D605E" w:rsidP="00DF3387">
            <w:pPr>
              <w:pStyle w:val="Tablebody"/>
              <w:rPr>
                <w:sz w:val="28"/>
              </w:rPr>
            </w:pPr>
            <w:r w:rsidRPr="000D605E">
              <w:rPr>
                <w:sz w:val="28"/>
              </w:rPr>
              <w:t>Assessments and evidence gathering</w:t>
            </w:r>
          </w:p>
          <w:p w:rsidR="000D605E" w:rsidRDefault="000D605E" w:rsidP="00DF3387">
            <w:pPr>
              <w:pStyle w:val="Tablebody"/>
              <w:rPr>
                <w:sz w:val="22"/>
              </w:rPr>
            </w:pPr>
            <w:r>
              <w:rPr>
                <w:sz w:val="22"/>
              </w:rPr>
              <w:t>SEND Lead Worker begins to prepare draft plan</w:t>
            </w:r>
          </w:p>
          <w:p w:rsidR="000D605E" w:rsidRPr="000D605E" w:rsidRDefault="00927EA5" w:rsidP="00DF3387">
            <w:pPr>
              <w:pStyle w:val="Tablebody"/>
              <w:rPr>
                <w:sz w:val="22"/>
              </w:rPr>
            </w:pPr>
            <w:r>
              <w:rPr>
                <w:sz w:val="22"/>
              </w:rPr>
              <w:t>My Plan outcomes</w:t>
            </w:r>
            <w:r w:rsidR="000D605E">
              <w:rPr>
                <w:sz w:val="22"/>
              </w:rPr>
              <w:t xml:space="preserve"> meeting held</w:t>
            </w:r>
          </w:p>
          <w:p w:rsidR="000D605E" w:rsidRPr="000A7C01" w:rsidRDefault="000D605E" w:rsidP="00DF3387">
            <w:pPr>
              <w:pStyle w:val="Tablebody"/>
              <w:rPr>
                <w:sz w:val="22"/>
              </w:rPr>
            </w:pPr>
          </w:p>
        </w:tc>
        <w:tc>
          <w:tcPr>
            <w:tcW w:w="1538" w:type="dxa"/>
            <w:vAlign w:val="center"/>
          </w:tcPr>
          <w:p w:rsidR="000D605E" w:rsidRPr="009725F9" w:rsidRDefault="000D605E" w:rsidP="00DF3387">
            <w:pPr>
              <w:pStyle w:val="Tablebody"/>
              <w:jc w:val="center"/>
            </w:pPr>
            <w:r w:rsidRPr="009725F9">
              <w:t>7</w:t>
            </w:r>
          </w:p>
        </w:tc>
      </w:tr>
      <w:tr w:rsidR="000D605E" w:rsidRPr="009725F9" w:rsidTr="00350B5A">
        <w:trPr>
          <w:trHeight w:val="397"/>
        </w:trPr>
        <w:tc>
          <w:tcPr>
            <w:tcW w:w="8493" w:type="dxa"/>
            <w:gridSpan w:val="2"/>
            <w:vMerge/>
            <w:vAlign w:val="center"/>
          </w:tcPr>
          <w:p w:rsidR="000D605E" w:rsidRPr="000A7C01" w:rsidRDefault="000D605E" w:rsidP="00DF3387">
            <w:pPr>
              <w:pStyle w:val="Tablebody"/>
              <w:rPr>
                <w:sz w:val="22"/>
              </w:rPr>
            </w:pPr>
          </w:p>
        </w:tc>
        <w:tc>
          <w:tcPr>
            <w:tcW w:w="1538" w:type="dxa"/>
            <w:vAlign w:val="center"/>
          </w:tcPr>
          <w:p w:rsidR="000D605E" w:rsidRPr="009725F9" w:rsidRDefault="000D605E" w:rsidP="00DF3387">
            <w:pPr>
              <w:pStyle w:val="Tablebody"/>
              <w:jc w:val="center"/>
            </w:pPr>
            <w:r w:rsidRPr="009725F9">
              <w:t>8</w:t>
            </w:r>
          </w:p>
        </w:tc>
      </w:tr>
      <w:tr w:rsidR="000D605E" w:rsidRPr="009725F9" w:rsidTr="00350B5A">
        <w:trPr>
          <w:trHeight w:val="397"/>
        </w:trPr>
        <w:tc>
          <w:tcPr>
            <w:tcW w:w="8493" w:type="dxa"/>
            <w:gridSpan w:val="2"/>
            <w:vMerge/>
            <w:vAlign w:val="center"/>
          </w:tcPr>
          <w:p w:rsidR="000D605E" w:rsidRPr="000A7C01" w:rsidRDefault="000D605E" w:rsidP="00DF3387">
            <w:pPr>
              <w:pStyle w:val="Tablebody"/>
              <w:rPr>
                <w:sz w:val="22"/>
              </w:rPr>
            </w:pPr>
          </w:p>
        </w:tc>
        <w:tc>
          <w:tcPr>
            <w:tcW w:w="1538" w:type="dxa"/>
            <w:vAlign w:val="center"/>
          </w:tcPr>
          <w:p w:rsidR="000D605E" w:rsidRPr="009725F9" w:rsidRDefault="000D605E" w:rsidP="00DF3387">
            <w:pPr>
              <w:pStyle w:val="Tablebody"/>
              <w:jc w:val="center"/>
            </w:pPr>
            <w:r w:rsidRPr="009725F9">
              <w:t>9</w:t>
            </w:r>
          </w:p>
        </w:tc>
      </w:tr>
      <w:tr w:rsidR="000D605E" w:rsidRPr="009725F9" w:rsidTr="00350B5A">
        <w:trPr>
          <w:trHeight w:val="397"/>
        </w:trPr>
        <w:tc>
          <w:tcPr>
            <w:tcW w:w="8493" w:type="dxa"/>
            <w:gridSpan w:val="2"/>
            <w:vMerge/>
            <w:vAlign w:val="center"/>
          </w:tcPr>
          <w:p w:rsidR="000D605E" w:rsidRPr="000A7C01" w:rsidRDefault="000D605E" w:rsidP="00DF3387">
            <w:pPr>
              <w:pStyle w:val="Tablebody"/>
              <w:rPr>
                <w:sz w:val="22"/>
              </w:rPr>
            </w:pPr>
          </w:p>
        </w:tc>
        <w:tc>
          <w:tcPr>
            <w:tcW w:w="1538" w:type="dxa"/>
            <w:vAlign w:val="center"/>
          </w:tcPr>
          <w:p w:rsidR="000D605E" w:rsidRPr="009725F9" w:rsidRDefault="000D605E" w:rsidP="00DF3387">
            <w:pPr>
              <w:pStyle w:val="Tablebody"/>
              <w:jc w:val="center"/>
            </w:pPr>
            <w:r w:rsidRPr="009725F9">
              <w:t>10</w:t>
            </w:r>
          </w:p>
        </w:tc>
      </w:tr>
      <w:tr w:rsidR="000D605E" w:rsidRPr="009725F9" w:rsidTr="00350B5A">
        <w:trPr>
          <w:trHeight w:val="397"/>
        </w:trPr>
        <w:tc>
          <w:tcPr>
            <w:tcW w:w="8493" w:type="dxa"/>
            <w:gridSpan w:val="2"/>
            <w:vMerge/>
            <w:vAlign w:val="center"/>
          </w:tcPr>
          <w:p w:rsidR="000D605E" w:rsidRPr="000A7C01" w:rsidRDefault="000D605E" w:rsidP="00DF3387">
            <w:pPr>
              <w:pStyle w:val="Tablebody"/>
              <w:rPr>
                <w:sz w:val="22"/>
              </w:rPr>
            </w:pPr>
          </w:p>
        </w:tc>
        <w:tc>
          <w:tcPr>
            <w:tcW w:w="1538" w:type="dxa"/>
            <w:vAlign w:val="center"/>
          </w:tcPr>
          <w:p w:rsidR="000D605E" w:rsidRPr="009725F9" w:rsidRDefault="000D605E" w:rsidP="00DF3387">
            <w:pPr>
              <w:pStyle w:val="Tablebody"/>
              <w:jc w:val="center"/>
            </w:pPr>
            <w:r w:rsidRPr="009725F9">
              <w:t>11</w:t>
            </w:r>
          </w:p>
        </w:tc>
      </w:tr>
      <w:tr w:rsidR="000D605E" w:rsidRPr="009725F9" w:rsidTr="00350B5A">
        <w:trPr>
          <w:trHeight w:val="397"/>
        </w:trPr>
        <w:tc>
          <w:tcPr>
            <w:tcW w:w="8493" w:type="dxa"/>
            <w:gridSpan w:val="2"/>
            <w:vMerge/>
            <w:vAlign w:val="center"/>
          </w:tcPr>
          <w:p w:rsidR="000D605E" w:rsidRPr="000A7C01" w:rsidRDefault="000D605E" w:rsidP="00DF3387">
            <w:pPr>
              <w:pStyle w:val="Tablebody"/>
              <w:rPr>
                <w:sz w:val="22"/>
              </w:rPr>
            </w:pPr>
          </w:p>
        </w:tc>
        <w:tc>
          <w:tcPr>
            <w:tcW w:w="1538" w:type="dxa"/>
            <w:vAlign w:val="center"/>
          </w:tcPr>
          <w:p w:rsidR="000D605E" w:rsidRPr="009725F9" w:rsidRDefault="000D605E" w:rsidP="00DF3387">
            <w:pPr>
              <w:pStyle w:val="Tablebody"/>
              <w:jc w:val="center"/>
            </w:pPr>
            <w:r w:rsidRPr="009725F9">
              <w:t>12</w:t>
            </w:r>
          </w:p>
        </w:tc>
      </w:tr>
      <w:tr w:rsidR="000D605E" w:rsidRPr="009725F9" w:rsidTr="00350B5A">
        <w:trPr>
          <w:trHeight w:val="397"/>
        </w:trPr>
        <w:tc>
          <w:tcPr>
            <w:tcW w:w="8493" w:type="dxa"/>
            <w:gridSpan w:val="2"/>
            <w:vMerge/>
            <w:vAlign w:val="center"/>
          </w:tcPr>
          <w:p w:rsidR="000D605E" w:rsidRPr="000A7C01" w:rsidRDefault="000D605E" w:rsidP="00DF3387">
            <w:pPr>
              <w:pStyle w:val="Tablebody"/>
              <w:rPr>
                <w:sz w:val="22"/>
              </w:rPr>
            </w:pPr>
          </w:p>
        </w:tc>
        <w:tc>
          <w:tcPr>
            <w:tcW w:w="1538" w:type="dxa"/>
            <w:vAlign w:val="center"/>
          </w:tcPr>
          <w:p w:rsidR="000D605E" w:rsidRPr="009725F9" w:rsidRDefault="000D605E" w:rsidP="00DF3387">
            <w:pPr>
              <w:pStyle w:val="Tablebody"/>
              <w:jc w:val="center"/>
            </w:pPr>
            <w:r w:rsidRPr="009725F9">
              <w:t>13</w:t>
            </w:r>
          </w:p>
        </w:tc>
      </w:tr>
      <w:tr w:rsidR="000D605E" w:rsidRPr="009725F9" w:rsidTr="009725F9">
        <w:trPr>
          <w:trHeight w:val="397"/>
        </w:trPr>
        <w:tc>
          <w:tcPr>
            <w:tcW w:w="8493" w:type="dxa"/>
            <w:gridSpan w:val="2"/>
            <w:vMerge/>
            <w:vAlign w:val="center"/>
          </w:tcPr>
          <w:p w:rsidR="000D605E" w:rsidRPr="000A7C01" w:rsidRDefault="000D605E" w:rsidP="00DF3387">
            <w:pPr>
              <w:pStyle w:val="Tablebody"/>
              <w:rPr>
                <w:sz w:val="22"/>
              </w:rPr>
            </w:pPr>
          </w:p>
        </w:tc>
        <w:tc>
          <w:tcPr>
            <w:tcW w:w="1538" w:type="dxa"/>
            <w:tcBorders>
              <w:bottom w:val="single" w:sz="4" w:space="0" w:color="auto"/>
            </w:tcBorders>
            <w:vAlign w:val="center"/>
          </w:tcPr>
          <w:p w:rsidR="000D605E" w:rsidRPr="009725F9" w:rsidRDefault="000D605E" w:rsidP="00DF3387">
            <w:pPr>
              <w:pStyle w:val="Tablebody"/>
              <w:jc w:val="center"/>
            </w:pPr>
            <w:r w:rsidRPr="009725F9">
              <w:t>14</w:t>
            </w:r>
          </w:p>
        </w:tc>
      </w:tr>
      <w:tr w:rsidR="000D605E" w:rsidRPr="009725F9" w:rsidTr="009725F9">
        <w:trPr>
          <w:trHeight w:val="397"/>
        </w:trPr>
        <w:tc>
          <w:tcPr>
            <w:tcW w:w="8493" w:type="dxa"/>
            <w:gridSpan w:val="2"/>
            <w:vMerge/>
            <w:tcBorders>
              <w:bottom w:val="nil"/>
            </w:tcBorders>
            <w:vAlign w:val="center"/>
          </w:tcPr>
          <w:p w:rsidR="000D605E" w:rsidRPr="000A7C01" w:rsidRDefault="000D605E" w:rsidP="00DF3387">
            <w:pPr>
              <w:pStyle w:val="Tablebody"/>
              <w:rPr>
                <w:sz w:val="22"/>
              </w:rPr>
            </w:pPr>
          </w:p>
        </w:tc>
        <w:tc>
          <w:tcPr>
            <w:tcW w:w="1538" w:type="dxa"/>
            <w:tcBorders>
              <w:bottom w:val="single" w:sz="4" w:space="0" w:color="auto"/>
            </w:tcBorders>
            <w:vAlign w:val="center"/>
          </w:tcPr>
          <w:p w:rsidR="000D605E" w:rsidRPr="009725F9" w:rsidRDefault="000D605E" w:rsidP="00DF3387">
            <w:pPr>
              <w:pStyle w:val="Tablebody"/>
              <w:jc w:val="center"/>
            </w:pPr>
            <w:r w:rsidRPr="009725F9">
              <w:t>15</w:t>
            </w:r>
          </w:p>
        </w:tc>
      </w:tr>
      <w:tr w:rsidR="00DF3387" w:rsidRPr="009725F9" w:rsidTr="009725F9">
        <w:trPr>
          <w:trHeight w:val="397"/>
        </w:trPr>
        <w:tc>
          <w:tcPr>
            <w:tcW w:w="8493" w:type="dxa"/>
            <w:gridSpan w:val="2"/>
            <w:tcBorders>
              <w:top w:val="nil"/>
              <w:bottom w:val="single" w:sz="24" w:space="0" w:color="auto"/>
            </w:tcBorders>
            <w:vAlign w:val="bottom"/>
          </w:tcPr>
          <w:p w:rsidR="00DF3387" w:rsidRPr="000A7C01" w:rsidRDefault="000D605E" w:rsidP="001974BB">
            <w:pPr>
              <w:pStyle w:val="Tablebody"/>
              <w:rPr>
                <w:sz w:val="22"/>
              </w:rPr>
            </w:pPr>
            <w:r>
              <w:rPr>
                <w:sz w:val="22"/>
              </w:rPr>
              <w:t>La</w:t>
            </w:r>
            <w:r w:rsidR="004B3582">
              <w:rPr>
                <w:sz w:val="22"/>
              </w:rPr>
              <w:t xml:space="preserve">test LA can issue a draft plan or </w:t>
            </w:r>
            <w:r>
              <w:rPr>
                <w:sz w:val="22"/>
              </w:rPr>
              <w:t>inform parents and C</w:t>
            </w:r>
            <w:r w:rsidR="001974BB">
              <w:rPr>
                <w:sz w:val="22"/>
              </w:rPr>
              <w:t>hild</w:t>
            </w:r>
            <w:r>
              <w:rPr>
                <w:sz w:val="22"/>
              </w:rPr>
              <w:t xml:space="preserve"> that they will not issue a plan</w:t>
            </w:r>
          </w:p>
        </w:tc>
        <w:tc>
          <w:tcPr>
            <w:tcW w:w="1538" w:type="dxa"/>
            <w:tcBorders>
              <w:top w:val="single" w:sz="4" w:space="0" w:color="auto"/>
              <w:bottom w:val="single" w:sz="24" w:space="0" w:color="auto"/>
            </w:tcBorders>
            <w:vAlign w:val="center"/>
          </w:tcPr>
          <w:p w:rsidR="00DF3387" w:rsidRPr="009725F9" w:rsidRDefault="00DF3387" w:rsidP="00DF3387">
            <w:pPr>
              <w:pStyle w:val="Tablebody"/>
              <w:jc w:val="center"/>
            </w:pPr>
            <w:r w:rsidRPr="009725F9">
              <w:t>16</w:t>
            </w:r>
          </w:p>
        </w:tc>
      </w:tr>
      <w:tr w:rsidR="000D605E" w:rsidRPr="009725F9" w:rsidTr="00350B5A">
        <w:trPr>
          <w:trHeight w:val="397"/>
        </w:trPr>
        <w:tc>
          <w:tcPr>
            <w:tcW w:w="10031" w:type="dxa"/>
            <w:gridSpan w:val="3"/>
            <w:tcBorders>
              <w:top w:val="single" w:sz="4" w:space="0" w:color="auto"/>
              <w:bottom w:val="single" w:sz="4" w:space="0" w:color="auto"/>
            </w:tcBorders>
            <w:shd w:val="clear" w:color="auto" w:fill="C6D9F1" w:themeFill="text2" w:themeFillTint="33"/>
            <w:vAlign w:val="center"/>
          </w:tcPr>
          <w:p w:rsidR="000D605E" w:rsidRPr="009725F9" w:rsidRDefault="000D605E" w:rsidP="00DF3387">
            <w:pPr>
              <w:pStyle w:val="Tablebody"/>
              <w:jc w:val="center"/>
              <w:rPr>
                <w:szCs w:val="28"/>
              </w:rPr>
            </w:pPr>
            <w:r w:rsidRPr="009725F9">
              <w:rPr>
                <w:sz w:val="28"/>
                <w:szCs w:val="28"/>
              </w:rPr>
              <w:t>If My Plan issued:</w:t>
            </w:r>
          </w:p>
        </w:tc>
      </w:tr>
      <w:tr w:rsidR="00350B5A" w:rsidRPr="009725F9" w:rsidTr="00350B5A">
        <w:trPr>
          <w:trHeight w:val="397"/>
        </w:trPr>
        <w:tc>
          <w:tcPr>
            <w:tcW w:w="6947" w:type="dxa"/>
            <w:vMerge w:val="restart"/>
            <w:tcBorders>
              <w:top w:val="single" w:sz="4" w:space="0" w:color="auto"/>
            </w:tcBorders>
            <w:vAlign w:val="center"/>
          </w:tcPr>
          <w:p w:rsidR="00350B5A" w:rsidRPr="00350B5A" w:rsidRDefault="00350B5A" w:rsidP="00DF3387">
            <w:pPr>
              <w:pStyle w:val="Tablebody"/>
              <w:rPr>
                <w:sz w:val="28"/>
              </w:rPr>
            </w:pPr>
            <w:r w:rsidRPr="00350B5A">
              <w:rPr>
                <w:sz w:val="28"/>
              </w:rPr>
              <w:t>Consultation with parents/CYP</w:t>
            </w:r>
          </w:p>
          <w:p w:rsidR="00350B5A" w:rsidRDefault="00350B5A" w:rsidP="009725F9">
            <w:pPr>
              <w:pStyle w:val="Tablebody"/>
              <w:numPr>
                <w:ilvl w:val="0"/>
                <w:numId w:val="14"/>
              </w:numPr>
              <w:rPr>
                <w:sz w:val="22"/>
              </w:rPr>
            </w:pPr>
            <w:r>
              <w:rPr>
                <w:sz w:val="22"/>
              </w:rPr>
              <w:t>Comments on the content or wording may be made</w:t>
            </w:r>
          </w:p>
          <w:p w:rsidR="00350B5A" w:rsidRDefault="00350B5A" w:rsidP="009725F9">
            <w:pPr>
              <w:pStyle w:val="Tablebody"/>
              <w:numPr>
                <w:ilvl w:val="0"/>
                <w:numId w:val="14"/>
              </w:numPr>
              <w:rPr>
                <w:sz w:val="22"/>
              </w:rPr>
            </w:pPr>
            <w:r>
              <w:rPr>
                <w:sz w:val="22"/>
              </w:rPr>
              <w:t xml:space="preserve"> A school/college may be named</w:t>
            </w:r>
          </w:p>
        </w:tc>
        <w:tc>
          <w:tcPr>
            <w:tcW w:w="1546" w:type="dxa"/>
            <w:vMerge w:val="restart"/>
            <w:tcBorders>
              <w:top w:val="single" w:sz="4" w:space="0" w:color="auto"/>
            </w:tcBorders>
            <w:vAlign w:val="center"/>
          </w:tcPr>
          <w:p w:rsidR="00350B5A" w:rsidRDefault="00350B5A" w:rsidP="00350B5A">
            <w:pPr>
              <w:pStyle w:val="Tablebody"/>
              <w:ind w:left="33"/>
              <w:rPr>
                <w:sz w:val="22"/>
              </w:rPr>
            </w:pPr>
            <w:r>
              <w:rPr>
                <w:sz w:val="22"/>
              </w:rPr>
              <w:t>15 calendar days</w:t>
            </w:r>
          </w:p>
        </w:tc>
        <w:tc>
          <w:tcPr>
            <w:tcW w:w="1538" w:type="dxa"/>
            <w:vAlign w:val="center"/>
          </w:tcPr>
          <w:p w:rsidR="00350B5A" w:rsidRPr="009725F9" w:rsidRDefault="00350B5A" w:rsidP="00DF3387">
            <w:pPr>
              <w:pStyle w:val="Tablebody"/>
              <w:jc w:val="center"/>
            </w:pPr>
            <w:r w:rsidRPr="009725F9">
              <w:t>17</w:t>
            </w:r>
          </w:p>
        </w:tc>
      </w:tr>
      <w:tr w:rsidR="00350B5A" w:rsidRPr="009725F9" w:rsidTr="00350B5A">
        <w:trPr>
          <w:trHeight w:val="397"/>
        </w:trPr>
        <w:tc>
          <w:tcPr>
            <w:tcW w:w="6947" w:type="dxa"/>
            <w:vMerge/>
            <w:tcBorders>
              <w:bottom w:val="single" w:sz="4" w:space="0" w:color="auto"/>
            </w:tcBorders>
            <w:vAlign w:val="center"/>
          </w:tcPr>
          <w:p w:rsidR="00350B5A" w:rsidRDefault="00350B5A" w:rsidP="00DF3387">
            <w:pPr>
              <w:pStyle w:val="Tablebody"/>
              <w:rPr>
                <w:sz w:val="22"/>
              </w:rPr>
            </w:pPr>
          </w:p>
        </w:tc>
        <w:tc>
          <w:tcPr>
            <w:tcW w:w="1546" w:type="dxa"/>
            <w:vMerge/>
            <w:tcBorders>
              <w:bottom w:val="single" w:sz="4" w:space="0" w:color="auto"/>
            </w:tcBorders>
            <w:vAlign w:val="center"/>
          </w:tcPr>
          <w:p w:rsidR="00350B5A" w:rsidRDefault="00350B5A" w:rsidP="00DF3387">
            <w:pPr>
              <w:pStyle w:val="Tablebody"/>
              <w:rPr>
                <w:sz w:val="22"/>
              </w:rPr>
            </w:pPr>
          </w:p>
        </w:tc>
        <w:tc>
          <w:tcPr>
            <w:tcW w:w="1538" w:type="dxa"/>
            <w:vAlign w:val="center"/>
          </w:tcPr>
          <w:p w:rsidR="00350B5A" w:rsidRPr="009725F9" w:rsidRDefault="00350B5A" w:rsidP="00DF3387">
            <w:pPr>
              <w:pStyle w:val="Tablebody"/>
              <w:jc w:val="center"/>
            </w:pPr>
            <w:r w:rsidRPr="009725F9">
              <w:t>18</w:t>
            </w:r>
          </w:p>
        </w:tc>
      </w:tr>
      <w:tr w:rsidR="00350B5A" w:rsidRPr="009725F9" w:rsidTr="00350B5A">
        <w:trPr>
          <w:trHeight w:val="397"/>
        </w:trPr>
        <w:tc>
          <w:tcPr>
            <w:tcW w:w="6947" w:type="dxa"/>
            <w:vMerge w:val="restart"/>
            <w:tcBorders>
              <w:top w:val="single" w:sz="4" w:space="0" w:color="auto"/>
            </w:tcBorders>
            <w:vAlign w:val="center"/>
          </w:tcPr>
          <w:p w:rsidR="00350B5A" w:rsidRPr="00350B5A" w:rsidRDefault="00927EA5" w:rsidP="00DF3387">
            <w:pPr>
              <w:pStyle w:val="Tablebody"/>
              <w:rPr>
                <w:sz w:val="28"/>
              </w:rPr>
            </w:pPr>
            <w:r>
              <w:rPr>
                <w:sz w:val="28"/>
              </w:rPr>
              <w:t>Consultation with school</w:t>
            </w:r>
          </w:p>
          <w:p w:rsidR="00350B5A" w:rsidRDefault="00927EA5" w:rsidP="009725F9">
            <w:pPr>
              <w:pStyle w:val="Tablebody"/>
              <w:numPr>
                <w:ilvl w:val="0"/>
                <w:numId w:val="14"/>
              </w:numPr>
              <w:rPr>
                <w:sz w:val="22"/>
              </w:rPr>
            </w:pPr>
            <w:r>
              <w:rPr>
                <w:sz w:val="22"/>
              </w:rPr>
              <w:t xml:space="preserve">School </w:t>
            </w:r>
            <w:r w:rsidR="00350B5A">
              <w:rPr>
                <w:sz w:val="22"/>
              </w:rPr>
              <w:t>can respond to being named in the plan</w:t>
            </w:r>
          </w:p>
        </w:tc>
        <w:tc>
          <w:tcPr>
            <w:tcW w:w="1546" w:type="dxa"/>
            <w:vMerge w:val="restart"/>
            <w:tcBorders>
              <w:top w:val="single" w:sz="4" w:space="0" w:color="auto"/>
            </w:tcBorders>
            <w:vAlign w:val="center"/>
          </w:tcPr>
          <w:p w:rsidR="00350B5A" w:rsidRDefault="00350B5A" w:rsidP="00350B5A">
            <w:pPr>
              <w:pStyle w:val="Tablebody"/>
              <w:rPr>
                <w:sz w:val="22"/>
              </w:rPr>
            </w:pPr>
            <w:r>
              <w:rPr>
                <w:sz w:val="22"/>
              </w:rPr>
              <w:t>15 calendar days</w:t>
            </w:r>
          </w:p>
        </w:tc>
        <w:tc>
          <w:tcPr>
            <w:tcW w:w="1538" w:type="dxa"/>
            <w:vAlign w:val="center"/>
          </w:tcPr>
          <w:p w:rsidR="00350B5A" w:rsidRPr="009725F9" w:rsidRDefault="00350B5A" w:rsidP="00DF3387">
            <w:pPr>
              <w:pStyle w:val="Tablebody"/>
              <w:jc w:val="center"/>
            </w:pPr>
            <w:r w:rsidRPr="009725F9">
              <w:t>19</w:t>
            </w:r>
          </w:p>
        </w:tc>
      </w:tr>
      <w:tr w:rsidR="00350B5A" w:rsidRPr="009725F9" w:rsidTr="009725F9">
        <w:trPr>
          <w:trHeight w:val="397"/>
        </w:trPr>
        <w:tc>
          <w:tcPr>
            <w:tcW w:w="6947" w:type="dxa"/>
            <w:vMerge/>
            <w:tcBorders>
              <w:bottom w:val="single" w:sz="4" w:space="0" w:color="auto"/>
            </w:tcBorders>
            <w:vAlign w:val="center"/>
          </w:tcPr>
          <w:p w:rsidR="00350B5A" w:rsidRDefault="00350B5A" w:rsidP="00DF3387">
            <w:pPr>
              <w:pStyle w:val="Tablebody"/>
              <w:rPr>
                <w:sz w:val="22"/>
              </w:rPr>
            </w:pPr>
          </w:p>
        </w:tc>
        <w:tc>
          <w:tcPr>
            <w:tcW w:w="1546" w:type="dxa"/>
            <w:vMerge/>
            <w:tcBorders>
              <w:bottom w:val="single" w:sz="4" w:space="0" w:color="auto"/>
            </w:tcBorders>
            <w:vAlign w:val="center"/>
          </w:tcPr>
          <w:p w:rsidR="00350B5A" w:rsidRDefault="00350B5A" w:rsidP="00DF3387">
            <w:pPr>
              <w:pStyle w:val="Tablebody"/>
              <w:rPr>
                <w:sz w:val="22"/>
              </w:rPr>
            </w:pPr>
          </w:p>
        </w:tc>
        <w:tc>
          <w:tcPr>
            <w:tcW w:w="1538" w:type="dxa"/>
            <w:tcBorders>
              <w:bottom w:val="single" w:sz="4" w:space="0" w:color="auto"/>
            </w:tcBorders>
            <w:vAlign w:val="center"/>
          </w:tcPr>
          <w:p w:rsidR="00350B5A" w:rsidRPr="009725F9" w:rsidRDefault="00350B5A" w:rsidP="00DF3387">
            <w:pPr>
              <w:pStyle w:val="Tablebody"/>
              <w:jc w:val="center"/>
            </w:pPr>
            <w:r w:rsidRPr="009725F9">
              <w:t>20</w:t>
            </w:r>
          </w:p>
        </w:tc>
      </w:tr>
      <w:tr w:rsidR="000D605E" w:rsidRPr="000A7C01" w:rsidTr="009725F9">
        <w:trPr>
          <w:trHeight w:val="397"/>
        </w:trPr>
        <w:tc>
          <w:tcPr>
            <w:tcW w:w="10031" w:type="dxa"/>
            <w:gridSpan w:val="3"/>
            <w:tcBorders>
              <w:top w:val="single" w:sz="4" w:space="0" w:color="auto"/>
              <w:bottom w:val="single" w:sz="24" w:space="0" w:color="auto"/>
            </w:tcBorders>
            <w:shd w:val="clear" w:color="auto" w:fill="C6D9F1" w:themeFill="text2" w:themeFillTint="33"/>
            <w:vAlign w:val="bottom"/>
          </w:tcPr>
          <w:p w:rsidR="000D605E" w:rsidRPr="00350B5A" w:rsidRDefault="000D605E" w:rsidP="00DF3387">
            <w:pPr>
              <w:pStyle w:val="Tablebody"/>
              <w:jc w:val="center"/>
              <w:rPr>
                <w:sz w:val="28"/>
              </w:rPr>
            </w:pPr>
            <w:r w:rsidRPr="00350B5A">
              <w:rPr>
                <w:sz w:val="28"/>
              </w:rPr>
              <w:t>Plan must be finalised and sent</w:t>
            </w:r>
          </w:p>
        </w:tc>
      </w:tr>
    </w:tbl>
    <w:p w:rsidR="00DF3387" w:rsidRDefault="00DF3387">
      <w:pPr>
        <w:spacing w:after="200" w:line="276" w:lineRule="auto"/>
        <w:ind w:left="0" w:right="0"/>
      </w:pPr>
    </w:p>
    <w:p w:rsidR="002426B2" w:rsidRPr="004B3582" w:rsidRDefault="004B3582" w:rsidP="004B3582">
      <w:pPr>
        <w:rPr>
          <w:sz w:val="28"/>
        </w:rPr>
      </w:pPr>
      <w:r w:rsidRPr="004B3582">
        <w:rPr>
          <w:sz w:val="28"/>
        </w:rPr>
        <w:t>Parents continue to have a right to appeal</w:t>
      </w:r>
      <w:r>
        <w:rPr>
          <w:sz w:val="28"/>
        </w:rPr>
        <w:t xml:space="preserve"> at different stages</w:t>
      </w:r>
      <w:r w:rsidRPr="004B3582">
        <w:rPr>
          <w:sz w:val="28"/>
        </w:rPr>
        <w:t>:</w:t>
      </w:r>
    </w:p>
    <w:p w:rsidR="004B3582" w:rsidRPr="00D26837" w:rsidRDefault="004B3582" w:rsidP="00D26837">
      <w:pPr>
        <w:pStyle w:val="ListParagraph"/>
        <w:numPr>
          <w:ilvl w:val="0"/>
          <w:numId w:val="16"/>
        </w:numPr>
        <w:rPr>
          <w:sz w:val="24"/>
          <w:szCs w:val="24"/>
        </w:rPr>
      </w:pPr>
      <w:r w:rsidRPr="00D26837">
        <w:rPr>
          <w:sz w:val="24"/>
          <w:szCs w:val="24"/>
        </w:rPr>
        <w:t>If the LA do not agree to an assessment being carried out</w:t>
      </w:r>
    </w:p>
    <w:p w:rsidR="004B3582" w:rsidRPr="00D26837" w:rsidRDefault="004B3582" w:rsidP="00D26837">
      <w:pPr>
        <w:pStyle w:val="ListParagraph"/>
        <w:numPr>
          <w:ilvl w:val="0"/>
          <w:numId w:val="16"/>
        </w:numPr>
        <w:rPr>
          <w:sz w:val="24"/>
          <w:szCs w:val="24"/>
        </w:rPr>
      </w:pPr>
      <w:r w:rsidRPr="00D26837">
        <w:rPr>
          <w:sz w:val="24"/>
          <w:szCs w:val="24"/>
        </w:rPr>
        <w:t>If they do not agree with the content of the My Plan</w:t>
      </w:r>
    </w:p>
    <w:p w:rsidR="004C6DA8" w:rsidRPr="00756772" w:rsidRDefault="004B3582" w:rsidP="00756772">
      <w:pPr>
        <w:pStyle w:val="ListParagraph"/>
        <w:numPr>
          <w:ilvl w:val="0"/>
          <w:numId w:val="16"/>
        </w:numPr>
        <w:rPr>
          <w:sz w:val="24"/>
          <w:szCs w:val="24"/>
        </w:rPr>
      </w:pPr>
      <w:r w:rsidRPr="00D26837">
        <w:rPr>
          <w:sz w:val="24"/>
          <w:szCs w:val="24"/>
        </w:rPr>
        <w:t>If they do not agree with the placement/provision in the My Plan</w:t>
      </w:r>
      <w:bookmarkStart w:id="21" w:name="In_App_c"/>
      <w:bookmarkEnd w:id="21"/>
    </w:p>
    <w:sectPr w:rsidR="004C6DA8" w:rsidRPr="00756772" w:rsidSect="006F7525">
      <w:headerReference w:type="default" r:id="rId30"/>
      <w:type w:val="continuous"/>
      <w:pgSz w:w="11906" w:h="16838"/>
      <w:pgMar w:top="1440" w:right="1274" w:bottom="1440" w:left="993" w:header="708" w:footer="4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284" w:rsidRDefault="00D33284" w:rsidP="00A8030D">
      <w:r>
        <w:separator/>
      </w:r>
    </w:p>
  </w:endnote>
  <w:endnote w:type="continuationSeparator" w:id="0">
    <w:p w:rsidR="00D33284" w:rsidRDefault="00D33284" w:rsidP="00A80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3C" w:rsidRDefault="00F538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F9" w:rsidRDefault="001C75F9">
    <w:pPr>
      <w:pStyle w:val="Footer"/>
    </w:pPr>
    <w:r>
      <w:t>To be reviewed Sept 2017</w:t>
    </w:r>
  </w:p>
  <w:p w:rsidR="001C75F9" w:rsidRDefault="001C75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3C" w:rsidRDefault="00F5383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80"/>
      <w:gridCol w:w="2977"/>
    </w:tblGrid>
    <w:tr w:rsidR="001C75F9" w:rsidRPr="00FC27D6" w:rsidTr="00F5383C">
      <w:tc>
        <w:tcPr>
          <w:tcW w:w="8080" w:type="dxa"/>
          <w:vAlign w:val="center"/>
        </w:tcPr>
        <w:p w:rsidR="001C75F9" w:rsidRPr="002C577C" w:rsidRDefault="001C75F9" w:rsidP="002C577C">
          <w:pPr>
            <w:ind w:left="28" w:right="34"/>
            <w:rPr>
              <w:sz w:val="20"/>
              <w:szCs w:val="20"/>
            </w:rPr>
          </w:pPr>
        </w:p>
      </w:tc>
      <w:tc>
        <w:tcPr>
          <w:tcW w:w="2977" w:type="dxa"/>
          <w:vAlign w:val="center"/>
        </w:tcPr>
        <w:p w:rsidR="001C75F9" w:rsidRPr="00FC27D6" w:rsidRDefault="001C75F9" w:rsidP="00382DF6">
          <w:pPr>
            <w:pStyle w:val="Footer"/>
            <w:tabs>
              <w:tab w:val="clear" w:pos="4513"/>
            </w:tabs>
            <w:ind w:left="0" w:right="176"/>
            <w:jc w:val="right"/>
            <w:rPr>
              <w:rFonts w:asciiTheme="minorHAnsi" w:hAnsiTheme="minorHAnsi"/>
              <w:sz w:val="32"/>
            </w:rPr>
          </w:pPr>
        </w:p>
      </w:tc>
    </w:tr>
    <w:tr w:rsidR="00756772" w:rsidRPr="00FC27D6" w:rsidTr="00F5383C">
      <w:tc>
        <w:tcPr>
          <w:tcW w:w="8080" w:type="dxa"/>
          <w:vAlign w:val="center"/>
        </w:tcPr>
        <w:p w:rsidR="00756772" w:rsidRDefault="00756772" w:rsidP="006F68BC">
          <w:pPr>
            <w:ind w:left="0" w:right="34"/>
            <w:rPr>
              <w:rFonts w:asciiTheme="minorHAnsi" w:hAnsiTheme="minorHAnsi"/>
            </w:rPr>
          </w:pPr>
          <w:r w:rsidRPr="00FC27D6">
            <w:rPr>
              <w:rFonts w:asciiTheme="minorHAnsi" w:hAnsiTheme="minorHAnsi"/>
            </w:rPr>
            <w:t xml:space="preserve">Wiltshire </w:t>
          </w:r>
          <w:r w:rsidR="00F5383C">
            <w:rPr>
              <w:rFonts w:asciiTheme="minorHAnsi" w:hAnsiTheme="minorHAnsi"/>
            </w:rPr>
            <w:t xml:space="preserve">Early Years </w:t>
          </w:r>
          <w:r>
            <w:rPr>
              <w:rFonts w:asciiTheme="minorHAnsi" w:hAnsiTheme="minorHAnsi"/>
            </w:rPr>
            <w:t>Graduated Response to SEND Support</w:t>
          </w:r>
        </w:p>
        <w:p w:rsidR="00756772" w:rsidRPr="002C577C" w:rsidRDefault="00756772" w:rsidP="006F68BC">
          <w:pPr>
            <w:ind w:left="28" w:right="34"/>
            <w:rPr>
              <w:sz w:val="20"/>
              <w:szCs w:val="20"/>
            </w:rPr>
          </w:pPr>
          <w:r w:rsidRPr="002C577C">
            <w:rPr>
              <w:rFonts w:asciiTheme="minorHAnsi" w:hAnsiTheme="minorHAnsi"/>
              <w:sz w:val="20"/>
              <w:szCs w:val="20"/>
            </w:rPr>
            <w:t>To be reviewed Sept 2017</w:t>
          </w:r>
        </w:p>
      </w:tc>
      <w:tc>
        <w:tcPr>
          <w:tcW w:w="2977" w:type="dxa"/>
          <w:vAlign w:val="center"/>
        </w:tcPr>
        <w:p w:rsidR="00756772" w:rsidRPr="006F7525" w:rsidRDefault="00231954" w:rsidP="00382DF6">
          <w:pPr>
            <w:pStyle w:val="Footer"/>
            <w:tabs>
              <w:tab w:val="clear" w:pos="4513"/>
            </w:tabs>
            <w:ind w:left="0" w:right="176"/>
            <w:jc w:val="right"/>
            <w:rPr>
              <w:rFonts w:asciiTheme="minorHAnsi" w:hAnsiTheme="minorHAnsi"/>
              <w:sz w:val="32"/>
            </w:rPr>
          </w:pPr>
          <w:r w:rsidRPr="006F7525">
            <w:rPr>
              <w:rFonts w:asciiTheme="minorHAnsi" w:hAnsiTheme="minorHAnsi"/>
              <w:sz w:val="32"/>
            </w:rPr>
            <w:fldChar w:fldCharType="begin"/>
          </w:r>
          <w:r w:rsidR="00756772" w:rsidRPr="006F7525">
            <w:rPr>
              <w:rFonts w:asciiTheme="minorHAnsi" w:hAnsiTheme="minorHAnsi"/>
              <w:sz w:val="32"/>
            </w:rPr>
            <w:instrText xml:space="preserve"> PAGE   \* MERGEFORMAT </w:instrText>
          </w:r>
          <w:r w:rsidRPr="006F7525">
            <w:rPr>
              <w:rFonts w:asciiTheme="minorHAnsi" w:hAnsiTheme="minorHAnsi"/>
              <w:sz w:val="32"/>
            </w:rPr>
            <w:fldChar w:fldCharType="separate"/>
          </w:r>
          <w:r w:rsidR="001974BB">
            <w:rPr>
              <w:rFonts w:asciiTheme="minorHAnsi" w:hAnsiTheme="minorHAnsi"/>
              <w:noProof/>
              <w:sz w:val="32"/>
            </w:rPr>
            <w:t>24</w:t>
          </w:r>
          <w:r w:rsidRPr="006F7525">
            <w:rPr>
              <w:rFonts w:asciiTheme="minorHAnsi" w:hAnsiTheme="minorHAnsi"/>
              <w:sz w:val="32"/>
            </w:rPr>
            <w:fldChar w:fldCharType="end"/>
          </w:r>
        </w:p>
      </w:tc>
    </w:tr>
  </w:tbl>
  <w:p w:rsidR="001C75F9" w:rsidRDefault="001C75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284" w:rsidRDefault="00D33284" w:rsidP="00A8030D">
      <w:r>
        <w:separator/>
      </w:r>
    </w:p>
  </w:footnote>
  <w:footnote w:type="continuationSeparator" w:id="0">
    <w:p w:rsidR="00D33284" w:rsidRDefault="00D33284" w:rsidP="00A80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3C" w:rsidRDefault="00F5383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F9" w:rsidRDefault="00231954" w:rsidP="00430EE2">
    <w:pPr>
      <w:pStyle w:val="HeaderTitle0"/>
      <w:ind w:right="-993"/>
    </w:pPr>
    <w:r>
      <w:rPr>
        <w:lang w:val="en-GB" w:eastAsia="en-GB"/>
      </w:rPr>
      <w:pict>
        <v:group id="_x0000_s2074" style="position:absolute;left:0;text-align:left;margin-left:473.8pt;margin-top:-28.05pt;width:63.35pt;height:58.75pt;z-index:251769856" coordorigin="10469,147" coordsize="1267,1175">
          <v:shapetype id="_x0000_t202" coordsize="21600,21600" o:spt="202" path="m,l,21600r21600,l21600,xe">
            <v:stroke joinstyle="miter"/>
            <v:path gradientshapeok="t" o:connecttype="rect"/>
          </v:shapetype>
          <v:shape id="_x0000_s2075" type="#_x0000_t202" style="position:absolute;left:10469;top:147;width:1267;height:810;mso-width-percent:1000;mso-position-horizontal-relative:page;mso-position-vertical-relative:top-margin-area;mso-width-percent:1000;mso-width-relative:right-margin-area;v-text-anchor:middle" o:allowincell="f" fillcolor="#5a5a5a [2109]" stroked="f">
            <v:textbox style="mso-next-textbox:#_x0000_s2075" inset=",0,,0">
              <w:txbxContent>
                <w:p w:rsidR="001C75F9" w:rsidRPr="00765129" w:rsidRDefault="001C75F9" w:rsidP="00765129">
                  <w:pPr>
                    <w:pStyle w:val="tab"/>
                    <w:ind w:left="-142" w:right="-144"/>
                    <w:jc w:val="center"/>
                    <w:rPr>
                      <w:sz w:val="28"/>
                    </w:rPr>
                  </w:pPr>
                  <w:r w:rsidRPr="00765129">
                    <w:rPr>
                      <w:sz w:val="28"/>
                    </w:rPr>
                    <w:t>Guidance</w:t>
                  </w:r>
                </w:p>
              </w:txbxContent>
            </v:textbox>
          </v:shape>
          <v:shape id="_x0000_s2076" type="#_x0000_t202" style="position:absolute;left:10469;top:951;width:1267;height:371;mso-position-horizontal-relative:page;mso-position-vertical-relative:top-margin-area;mso-width-relative:right-margin-area;v-text-anchor:middle" o:allowincell="f" fillcolor="#1f497d [3215]" stroked="f">
            <v:textbox style="mso-next-textbox:#_x0000_s2076" inset=",0,,0">
              <w:txbxContent>
                <w:p w:rsidR="001C75F9" w:rsidRPr="00765129" w:rsidRDefault="001C75F9" w:rsidP="00765129">
                  <w:pPr>
                    <w:pStyle w:val="tab"/>
                    <w:ind w:left="-142" w:right="-144"/>
                    <w:jc w:val="center"/>
                    <w:rPr>
                      <w:sz w:val="22"/>
                      <w:szCs w:val="22"/>
                    </w:rPr>
                  </w:pPr>
                  <w:r>
                    <w:rPr>
                      <w:sz w:val="22"/>
                      <w:szCs w:val="22"/>
                    </w:rPr>
                    <w:t>Appendices</w:t>
                  </w:r>
                </w:p>
              </w:txbxContent>
            </v:textbox>
          </v:shape>
        </v:group>
      </w:pict>
    </w:r>
    <w:r w:rsidRPr="00231954">
      <w:rPr>
        <w:rStyle w:val="HeaderTitleChar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73" type="#_x0000_t176" style="position:absolute;left:0;text-align:left;margin-left:504.05pt;margin-top:0;width:35.1pt;height:290.55pt;rotation:180;z-index:251768832;mso-position-horizontal-relative:margin;mso-position-vertical:center;mso-position-vertical-relative:margin;mso-width-relative:margin;v-text-anchor:middle" o:allowincell="f" fillcolor="#1f497d [3215]" stroked="f" strokecolor="#f2f2f2 [3041]" strokeweight="3pt">
          <v:shadow type="perspective" color="#243f60 [1604]" opacity=".5" offset="1pt" offset2="-1pt"/>
          <v:textbox style="layout-flow:vertical;mso-layout-flow-alt:bottom-to-top;mso-next-textbox:#_x0000_s2073" inset=",0,,0">
            <w:txbxContent>
              <w:p w:rsidR="001C75F9" w:rsidRPr="00F27BBD" w:rsidRDefault="001C75F9" w:rsidP="00934306">
                <w:pPr>
                  <w:ind w:left="0" w:right="0"/>
                  <w:jc w:val="center"/>
                  <w:rPr>
                    <w:color w:val="FFFFFF" w:themeColor="background1"/>
                  </w:rPr>
                </w:pPr>
                <w:r>
                  <w:rPr>
                    <w:color w:val="FFFFFF" w:themeColor="background1"/>
                  </w:rPr>
                  <w:t>Guidance: Appendices</w:t>
                </w:r>
              </w:p>
            </w:txbxContent>
          </v:textbox>
          <w10:wrap anchorx="margin" anchory="margin"/>
        </v:shape>
      </w:pict>
    </w:r>
    <w:r w:rsidR="001C75F9">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F9" w:rsidRDefault="001C75F9" w:rsidP="00EE33BD">
    <w:pPr>
      <w:pStyle w:val="HeaderTitle0"/>
      <w:tabs>
        <w:tab w:val="left" w:pos="2893"/>
      </w:tabs>
      <w:ind w:left="0" w:right="-993"/>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3C" w:rsidRDefault="00F5383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F9" w:rsidRDefault="00231954" w:rsidP="00AE73FF">
    <w:pPr>
      <w:pStyle w:val="HeaderTitle0"/>
      <w:tabs>
        <w:tab w:val="left" w:pos="2586"/>
        <w:tab w:val="left" w:pos="2893"/>
      </w:tabs>
      <w:ind w:right="-993"/>
    </w:pPr>
    <w:r>
      <w:rPr>
        <w:lang w:val="en-GB" w:eastAsia="en-GB"/>
      </w:rPr>
      <w:pict>
        <v:group id="_x0000_s2085" style="position:absolute;left:0;text-align:left;margin-left:473.8pt;margin-top:-28.05pt;width:63.35pt;height:58.75pt;z-index:251776000" coordorigin="10469,147" coordsize="1267,1175">
          <v:shapetype id="_x0000_t202" coordsize="21600,21600" o:spt="202" path="m,l,21600r21600,l21600,xe">
            <v:stroke joinstyle="miter"/>
            <v:path gradientshapeok="t" o:connecttype="rect"/>
          </v:shapetype>
          <v:shape id="_x0000_s2086" type="#_x0000_t202" style="position:absolute;left:10469;top:147;width:1267;height:810;mso-width-percent:1000;mso-position-horizontal-relative:page;mso-position-vertical-relative:top-margin-area;mso-width-percent:1000;mso-width-relative:right-margin-area;v-text-anchor:middle" o:allowincell="f" fillcolor="#5a5a5a [2109]" stroked="f">
            <v:textbox style="mso-next-textbox:#_x0000_s2086" inset=",0,,0">
              <w:txbxContent>
                <w:p w:rsidR="001C75F9" w:rsidRPr="00765129" w:rsidRDefault="001C75F9" w:rsidP="00765129">
                  <w:pPr>
                    <w:pStyle w:val="tab"/>
                    <w:ind w:left="-142" w:right="-144"/>
                    <w:jc w:val="center"/>
                    <w:rPr>
                      <w:sz w:val="28"/>
                    </w:rPr>
                  </w:pPr>
                  <w:r w:rsidRPr="00765129">
                    <w:rPr>
                      <w:sz w:val="28"/>
                    </w:rPr>
                    <w:t>Guidance</w:t>
                  </w:r>
                </w:p>
              </w:txbxContent>
            </v:textbox>
          </v:shape>
          <v:shape id="_x0000_s2087" type="#_x0000_t202" style="position:absolute;left:10469;top:951;width:1267;height:371;mso-position-horizontal-relative:page;mso-position-vertical-relative:top-margin-area;mso-width-relative:right-margin-area;v-text-anchor:middle" o:allowincell="f" fillcolor="#1f497d [3215]" stroked="f">
            <v:textbox style="mso-next-textbox:#_x0000_s2087" inset=",0,,0">
              <w:txbxContent>
                <w:p w:rsidR="001C75F9" w:rsidRPr="00765129" w:rsidRDefault="001C75F9" w:rsidP="00765129">
                  <w:pPr>
                    <w:pStyle w:val="tab"/>
                    <w:ind w:left="-142" w:right="-144"/>
                    <w:jc w:val="center"/>
                    <w:rPr>
                      <w:sz w:val="22"/>
                      <w:szCs w:val="22"/>
                    </w:rPr>
                  </w:pPr>
                  <w:r w:rsidRPr="00765129">
                    <w:rPr>
                      <w:sz w:val="22"/>
                      <w:szCs w:val="22"/>
                    </w:rPr>
                    <w:t>Introduction</w:t>
                  </w:r>
                </w:p>
              </w:txbxContent>
            </v:textbox>
          </v:shape>
        </v:group>
      </w:pict>
    </w:r>
    <w:r w:rsidRPr="00231954">
      <w:rPr>
        <w:rStyle w:val="HeaderTitleChar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84" type="#_x0000_t176" style="position:absolute;left:0;text-align:left;margin-left:504.05pt;margin-top:0;width:35.1pt;height:290.55pt;rotation:180;z-index:251774976;mso-position-horizontal-relative:margin;mso-position-vertical:center;mso-position-vertical-relative:margin;mso-width-relative:margin;v-text-anchor:middle" o:allowincell="f" fillcolor="#1f497d [3215]" stroked="f" strokecolor="#f2f2f2 [3041]" strokeweight="3pt">
          <v:shadow type="perspective" color="#243f60 [1604]" opacity=".5" offset="1pt" offset2="-1pt"/>
          <v:textbox style="layout-flow:vertical;mso-layout-flow-alt:bottom-to-top;mso-next-textbox:#_x0000_s2084" inset=",0,,0">
            <w:txbxContent>
              <w:p w:rsidR="001C75F9" w:rsidRPr="00F27BBD" w:rsidRDefault="001C75F9" w:rsidP="00934306">
                <w:pPr>
                  <w:ind w:left="0" w:right="0"/>
                  <w:jc w:val="center"/>
                  <w:rPr>
                    <w:color w:val="FFFFFF" w:themeColor="background1"/>
                  </w:rPr>
                </w:pPr>
                <w:r>
                  <w:rPr>
                    <w:color w:val="FFFFFF" w:themeColor="background1"/>
                  </w:rPr>
                  <w:t>Introduction</w:t>
                </w:r>
              </w:p>
            </w:txbxContent>
          </v:textbox>
          <w10:wrap anchorx="margin" anchory="margin"/>
        </v:shape>
      </w:pict>
    </w:r>
    <w:r w:rsidR="001C75F9">
      <w:rPr>
        <w:rStyle w:val="HeaderTitleChar0"/>
      </w:rPr>
      <w:t>Introduction</w:t>
    </w:r>
    <w:r w:rsidR="001C75F9">
      <w:tab/>
    </w:r>
    <w:r w:rsidR="001C75F9">
      <w:tab/>
    </w:r>
    <w:r w:rsidR="001C75F9">
      <w:tab/>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F9" w:rsidRDefault="00231954" w:rsidP="00430EE2">
    <w:pPr>
      <w:pStyle w:val="HeaderTitle0"/>
      <w:ind w:right="-993"/>
    </w:pPr>
    <w:r>
      <w:rPr>
        <w:lang w:val="en-GB" w:eastAsia="en-GB"/>
      </w:rPr>
      <w:pict>
        <v:group id="_x0000_s2050" style="position:absolute;left:0;text-align:left;margin-left:473.8pt;margin-top:-28.05pt;width:63.35pt;height:58.75pt;z-index:251754496" coordorigin="10469,147" coordsize="1267,1175">
          <v:shapetype id="_x0000_t202" coordsize="21600,21600" o:spt="202" path="m,l,21600r21600,l21600,xe">
            <v:stroke joinstyle="miter"/>
            <v:path gradientshapeok="t" o:connecttype="rect"/>
          </v:shapetype>
          <v:shape id="_x0000_s2051" type="#_x0000_t202" style="position:absolute;left:10469;top:147;width:1267;height:810;mso-width-percent:1000;mso-position-horizontal-relative:page;mso-position-vertical-relative:top-margin-area;mso-width-percent:1000;mso-width-relative:right-margin-area;v-text-anchor:middle" o:allowincell="f" fillcolor="#5a5a5a [2109]" stroked="f">
            <v:textbox style="mso-next-textbox:#_x0000_s2051" inset=",0,,0">
              <w:txbxContent>
                <w:p w:rsidR="001C75F9" w:rsidRPr="00765129" w:rsidRDefault="001C75F9" w:rsidP="00765129">
                  <w:pPr>
                    <w:pStyle w:val="tab"/>
                    <w:ind w:left="-142" w:right="-144"/>
                    <w:jc w:val="center"/>
                    <w:rPr>
                      <w:sz w:val="28"/>
                    </w:rPr>
                  </w:pPr>
                  <w:r w:rsidRPr="00765129">
                    <w:rPr>
                      <w:sz w:val="28"/>
                    </w:rPr>
                    <w:t>Guidance</w:t>
                  </w:r>
                </w:p>
              </w:txbxContent>
            </v:textbox>
          </v:shape>
          <v:shape id="_x0000_s2052" type="#_x0000_t202" style="position:absolute;left:10469;top:951;width:1267;height:371;mso-position-horizontal-relative:page;mso-position-vertical-relative:top-margin-area;mso-width-relative:right-margin-area;v-text-anchor:middle" o:allowincell="f" fillcolor="#1f497d [3215]" stroked="f">
            <v:textbox style="mso-next-textbox:#_x0000_s2052" inset=",0,,0">
              <w:txbxContent>
                <w:p w:rsidR="001C75F9" w:rsidRPr="00765129" w:rsidRDefault="001C75F9" w:rsidP="00765129">
                  <w:pPr>
                    <w:pStyle w:val="tab"/>
                    <w:ind w:left="-142" w:right="-144"/>
                    <w:jc w:val="center"/>
                    <w:rPr>
                      <w:sz w:val="22"/>
                      <w:szCs w:val="22"/>
                    </w:rPr>
                  </w:pPr>
                  <w:r w:rsidRPr="00765129">
                    <w:rPr>
                      <w:sz w:val="22"/>
                      <w:szCs w:val="22"/>
                    </w:rPr>
                    <w:t>Introduction</w:t>
                  </w:r>
                </w:p>
              </w:txbxContent>
            </v:textbox>
          </v:shape>
        </v:group>
      </w:pict>
    </w:r>
    <w:r w:rsidRPr="00231954">
      <w:rPr>
        <w:rStyle w:val="HeaderTitleChar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504.05pt;margin-top:0;width:35.1pt;height:290.55pt;rotation:180;z-index:251753472;mso-position-horizontal-relative:margin;mso-position-vertical:center;mso-position-vertical-relative:margin;mso-width-relative:margin;v-text-anchor:middle" o:allowincell="f" fillcolor="#1f497d [3215]" stroked="f" strokecolor="#f2f2f2 [3041]" strokeweight="3pt">
          <v:shadow type="perspective" color="#243f60 [1604]" opacity=".5" offset="1pt" offset2="-1pt"/>
          <v:textbox style="layout-flow:vertical;mso-layout-flow-alt:bottom-to-top;mso-next-textbox:#_x0000_s2049" inset=",0,,0">
            <w:txbxContent>
              <w:p w:rsidR="001C75F9" w:rsidRPr="00F27BBD" w:rsidRDefault="001C75F9" w:rsidP="00934306">
                <w:pPr>
                  <w:ind w:left="0" w:right="0"/>
                  <w:jc w:val="center"/>
                  <w:rPr>
                    <w:color w:val="FFFFFF" w:themeColor="background1"/>
                  </w:rPr>
                </w:pPr>
                <w:r>
                  <w:rPr>
                    <w:color w:val="FFFFFF" w:themeColor="background1"/>
                  </w:rPr>
                  <w:t>Introduction</w:t>
                </w:r>
              </w:p>
            </w:txbxContent>
          </v:textbox>
          <w10:wrap anchorx="margin" anchory="margin"/>
        </v:shape>
      </w:pict>
    </w:r>
    <w:r w:rsidR="001C75F9">
      <w:rPr>
        <w:rStyle w:val="HeaderTitleChar0"/>
      </w:rPr>
      <w:t>Introduction</w:t>
    </w:r>
    <w:r w:rsidR="001C75F9">
      <w:tab/>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F9" w:rsidRDefault="00231954" w:rsidP="00430EE2">
    <w:pPr>
      <w:pStyle w:val="HeaderTitle0"/>
      <w:ind w:right="-993"/>
    </w:pPr>
    <w:r>
      <w:rPr>
        <w:lang w:val="en-GB" w:eastAsia="en-GB"/>
      </w:rPr>
      <w:pict>
        <v:group id="_x0000_s2054" style="position:absolute;left:0;text-align:left;margin-left:473.8pt;margin-top:-28.05pt;width:63.35pt;height:58.75pt;z-index:251757568" coordorigin="10469,147" coordsize="1267,1175">
          <v:shapetype id="_x0000_t202" coordsize="21600,21600" o:spt="202" path="m,l,21600r21600,l21600,xe">
            <v:stroke joinstyle="miter"/>
            <v:path gradientshapeok="t" o:connecttype="rect"/>
          </v:shapetype>
          <v:shape id="_x0000_s2055" type="#_x0000_t202" style="position:absolute;left:10469;top:147;width:1267;height:810;mso-width-percent:1000;mso-position-horizontal-relative:page;mso-position-vertical-relative:top-margin-area;mso-width-percent:1000;mso-width-relative:right-margin-area;v-text-anchor:middle" o:allowincell="f" fillcolor="#5a5a5a [2109]" stroked="f">
            <v:textbox style="mso-next-textbox:#_x0000_s2055" inset=",0,,0">
              <w:txbxContent>
                <w:p w:rsidR="001C75F9" w:rsidRPr="00765129" w:rsidRDefault="001C75F9" w:rsidP="00765129">
                  <w:pPr>
                    <w:pStyle w:val="tab"/>
                    <w:ind w:left="-142" w:right="-144"/>
                    <w:jc w:val="center"/>
                    <w:rPr>
                      <w:sz w:val="28"/>
                    </w:rPr>
                  </w:pPr>
                  <w:r w:rsidRPr="00765129">
                    <w:rPr>
                      <w:sz w:val="28"/>
                    </w:rPr>
                    <w:t>Guidance</w:t>
                  </w:r>
                </w:p>
              </w:txbxContent>
            </v:textbox>
          </v:shape>
          <v:shape id="_x0000_s2056" type="#_x0000_t202" style="position:absolute;left:10469;top:951;width:1267;height:371;mso-position-horizontal-relative:page;mso-position-vertical-relative:top-margin-area;mso-width-relative:right-margin-area;v-text-anchor:middle" o:allowincell="f" fillcolor="#1f497d [3215]" stroked="f">
            <v:textbox style="mso-next-textbox:#_x0000_s2056" inset=",0,,0">
              <w:txbxContent>
                <w:p w:rsidR="001C75F9" w:rsidRPr="00765129" w:rsidRDefault="001C75F9" w:rsidP="00765129">
                  <w:pPr>
                    <w:pStyle w:val="tab"/>
                    <w:ind w:left="-142" w:right="-144"/>
                    <w:jc w:val="center"/>
                    <w:rPr>
                      <w:sz w:val="22"/>
                      <w:szCs w:val="22"/>
                    </w:rPr>
                  </w:pPr>
                  <w:r>
                    <w:rPr>
                      <w:sz w:val="22"/>
                      <w:szCs w:val="22"/>
                    </w:rPr>
                    <w:t>Assess</w:t>
                  </w:r>
                </w:p>
              </w:txbxContent>
            </v:textbox>
          </v:shape>
        </v:group>
      </w:pict>
    </w:r>
    <w:r w:rsidRPr="00231954">
      <w:rPr>
        <w:rStyle w:val="HeaderTitleChar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3" type="#_x0000_t176" style="position:absolute;left:0;text-align:left;margin-left:504.05pt;margin-top:0;width:35.1pt;height:290.55pt;rotation:180;z-index:251756544;mso-position-horizontal-relative:margin;mso-position-vertical:center;mso-position-vertical-relative:margin;mso-width-relative:margin;v-text-anchor:middle" o:allowincell="f" fillcolor="#1f497d [3215]" stroked="f" strokecolor="#f2f2f2 [3041]" strokeweight="3pt">
          <v:shadow type="perspective" color="#243f60 [1604]" opacity=".5" offset="1pt" offset2="-1pt"/>
          <v:textbox style="layout-flow:vertical;mso-layout-flow-alt:bottom-to-top;mso-next-textbox:#_x0000_s2053" inset=",0,,0">
            <w:txbxContent>
              <w:p w:rsidR="001C75F9" w:rsidRPr="00F27BBD" w:rsidRDefault="001C75F9" w:rsidP="00934306">
                <w:pPr>
                  <w:ind w:left="0" w:right="0"/>
                  <w:jc w:val="center"/>
                  <w:rPr>
                    <w:color w:val="FFFFFF" w:themeColor="background1"/>
                  </w:rPr>
                </w:pPr>
                <w:r>
                  <w:rPr>
                    <w:color w:val="FFFFFF" w:themeColor="background1"/>
                  </w:rPr>
                  <w:t>Guidance: Assess</w:t>
                </w:r>
              </w:p>
            </w:txbxContent>
          </v:textbox>
          <w10:wrap anchorx="margin" anchory="margin"/>
        </v:shape>
      </w:pict>
    </w:r>
    <w:r w:rsidR="001C75F9">
      <w:rPr>
        <w:rStyle w:val="HeaderTitleChar0"/>
      </w:rPr>
      <w:t>Guidance: Assess</w:t>
    </w:r>
    <w:r w:rsidR="001C75F9">
      <w:tab/>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F9" w:rsidRDefault="00231954" w:rsidP="00430EE2">
    <w:pPr>
      <w:pStyle w:val="HeaderTitle0"/>
      <w:ind w:right="-993"/>
    </w:pPr>
    <w:r>
      <w:rPr>
        <w:lang w:val="en-GB" w:eastAsia="en-GB"/>
      </w:rPr>
      <w:pict>
        <v:group id="_x0000_s2058" style="position:absolute;left:0;text-align:left;margin-left:473.8pt;margin-top:-28.05pt;width:63.35pt;height:58.75pt;z-index:251760640" coordorigin="10469,147" coordsize="1267,1175">
          <v:shapetype id="_x0000_t202" coordsize="21600,21600" o:spt="202" path="m,l,21600r21600,l21600,xe">
            <v:stroke joinstyle="miter"/>
            <v:path gradientshapeok="t" o:connecttype="rect"/>
          </v:shapetype>
          <v:shape id="_x0000_s2059" type="#_x0000_t202" style="position:absolute;left:10469;top:147;width:1267;height:810;mso-width-percent:1000;mso-position-horizontal-relative:page;mso-position-vertical-relative:top-margin-area;mso-width-percent:1000;mso-width-relative:right-margin-area;v-text-anchor:middle" o:allowincell="f" fillcolor="#5a5a5a [2109]" stroked="f">
            <v:textbox style="mso-next-textbox:#_x0000_s2059" inset=",0,,0">
              <w:txbxContent>
                <w:p w:rsidR="001C75F9" w:rsidRPr="00765129" w:rsidRDefault="001C75F9" w:rsidP="00765129">
                  <w:pPr>
                    <w:pStyle w:val="tab"/>
                    <w:ind w:left="-142" w:right="-144"/>
                    <w:jc w:val="center"/>
                    <w:rPr>
                      <w:sz w:val="28"/>
                    </w:rPr>
                  </w:pPr>
                  <w:r w:rsidRPr="00765129">
                    <w:rPr>
                      <w:sz w:val="28"/>
                    </w:rPr>
                    <w:t>Guidance</w:t>
                  </w:r>
                </w:p>
              </w:txbxContent>
            </v:textbox>
          </v:shape>
          <v:shape id="_x0000_s2060" type="#_x0000_t202" style="position:absolute;left:10469;top:951;width:1267;height:371;mso-position-horizontal-relative:page;mso-position-vertical-relative:top-margin-area;mso-width-relative:right-margin-area;v-text-anchor:middle" o:allowincell="f" fillcolor="#1f497d [3215]" stroked="f">
            <v:textbox style="mso-next-textbox:#_x0000_s2060" inset=",0,,0">
              <w:txbxContent>
                <w:p w:rsidR="001C75F9" w:rsidRPr="00765129" w:rsidRDefault="001C75F9" w:rsidP="00765129">
                  <w:pPr>
                    <w:pStyle w:val="tab"/>
                    <w:ind w:left="-142" w:right="-144"/>
                    <w:jc w:val="center"/>
                    <w:rPr>
                      <w:sz w:val="22"/>
                      <w:szCs w:val="22"/>
                    </w:rPr>
                  </w:pPr>
                  <w:r>
                    <w:rPr>
                      <w:sz w:val="22"/>
                      <w:szCs w:val="22"/>
                    </w:rPr>
                    <w:t>Plan &amp; Do</w:t>
                  </w:r>
                </w:p>
              </w:txbxContent>
            </v:textbox>
          </v:shape>
        </v:group>
      </w:pict>
    </w:r>
    <w:r w:rsidRPr="00231954">
      <w:rPr>
        <w:rStyle w:val="HeaderTitleChar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7" type="#_x0000_t176" style="position:absolute;left:0;text-align:left;margin-left:504.05pt;margin-top:0;width:35.1pt;height:290.55pt;rotation:180;z-index:251759616;mso-position-horizontal-relative:margin;mso-position-vertical:center;mso-position-vertical-relative:margin;mso-width-relative:margin;v-text-anchor:middle" o:allowincell="f" fillcolor="#1f497d [3215]" stroked="f" strokecolor="#f2f2f2 [3041]" strokeweight="3pt">
          <v:shadow type="perspective" color="#243f60 [1604]" opacity=".5" offset="1pt" offset2="-1pt"/>
          <v:textbox style="layout-flow:vertical;mso-layout-flow-alt:bottom-to-top;mso-next-textbox:#_x0000_s2057" inset=",0,,0">
            <w:txbxContent>
              <w:p w:rsidR="001C75F9" w:rsidRPr="00F27BBD" w:rsidRDefault="001C75F9" w:rsidP="00934306">
                <w:pPr>
                  <w:ind w:left="0" w:right="0"/>
                  <w:jc w:val="center"/>
                  <w:rPr>
                    <w:color w:val="FFFFFF" w:themeColor="background1"/>
                  </w:rPr>
                </w:pPr>
                <w:r>
                  <w:rPr>
                    <w:color w:val="FFFFFF" w:themeColor="background1"/>
                  </w:rPr>
                  <w:t>Guidance: Plan and Do</w:t>
                </w:r>
              </w:p>
            </w:txbxContent>
          </v:textbox>
          <w10:wrap anchorx="margin" anchory="margin"/>
        </v:shape>
      </w:pict>
    </w:r>
    <w:r w:rsidR="001C75F9">
      <w:rPr>
        <w:rStyle w:val="HeaderTitleChar0"/>
      </w:rPr>
      <w:t>Guidance: Plan and Do</w:t>
    </w:r>
    <w:r w:rsidR="001C75F9">
      <w:tab/>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F9" w:rsidRDefault="00231954" w:rsidP="00430EE2">
    <w:pPr>
      <w:pStyle w:val="HeaderTitle0"/>
      <w:ind w:right="-993"/>
    </w:pPr>
    <w:r>
      <w:rPr>
        <w:lang w:val="en-GB" w:eastAsia="en-GB"/>
      </w:rPr>
      <w:pict>
        <v:group id="_x0000_s2062" style="position:absolute;left:0;text-align:left;margin-left:473.8pt;margin-top:-28.05pt;width:63.35pt;height:58.75pt;z-index:251763712" coordorigin="10469,147" coordsize="1267,1175">
          <v:shapetype id="_x0000_t202" coordsize="21600,21600" o:spt="202" path="m,l,21600r21600,l21600,xe">
            <v:stroke joinstyle="miter"/>
            <v:path gradientshapeok="t" o:connecttype="rect"/>
          </v:shapetype>
          <v:shape id="_x0000_s2063" type="#_x0000_t202" style="position:absolute;left:10469;top:147;width:1267;height:810;mso-width-percent:1000;mso-position-horizontal-relative:page;mso-position-vertical-relative:top-margin-area;mso-width-percent:1000;mso-width-relative:right-margin-area;v-text-anchor:middle" o:allowincell="f" fillcolor="#5a5a5a [2109]" stroked="f">
            <v:textbox style="mso-next-textbox:#_x0000_s2063" inset=",0,,0">
              <w:txbxContent>
                <w:p w:rsidR="001C75F9" w:rsidRPr="00765129" w:rsidRDefault="001C75F9" w:rsidP="00765129">
                  <w:pPr>
                    <w:pStyle w:val="tab"/>
                    <w:ind w:left="-142" w:right="-144"/>
                    <w:jc w:val="center"/>
                    <w:rPr>
                      <w:sz w:val="28"/>
                    </w:rPr>
                  </w:pPr>
                  <w:r w:rsidRPr="00765129">
                    <w:rPr>
                      <w:sz w:val="28"/>
                    </w:rPr>
                    <w:t>Guidance</w:t>
                  </w:r>
                </w:p>
              </w:txbxContent>
            </v:textbox>
          </v:shape>
          <v:shape id="_x0000_s2064" type="#_x0000_t202" style="position:absolute;left:10469;top:951;width:1267;height:371;mso-position-horizontal-relative:page;mso-position-vertical-relative:top-margin-area;mso-width-relative:right-margin-area;v-text-anchor:middle" o:allowincell="f" fillcolor="#1f497d [3215]" stroked="f">
            <v:textbox style="mso-next-textbox:#_x0000_s2064" inset=",0,,0">
              <w:txbxContent>
                <w:p w:rsidR="001C75F9" w:rsidRPr="00765129" w:rsidRDefault="001C75F9" w:rsidP="00765129">
                  <w:pPr>
                    <w:pStyle w:val="tab"/>
                    <w:ind w:left="-142" w:right="-144"/>
                    <w:jc w:val="center"/>
                    <w:rPr>
                      <w:sz w:val="22"/>
                      <w:szCs w:val="22"/>
                    </w:rPr>
                  </w:pPr>
                  <w:r>
                    <w:rPr>
                      <w:sz w:val="22"/>
                      <w:szCs w:val="22"/>
                    </w:rPr>
                    <w:t>Review</w:t>
                  </w:r>
                </w:p>
              </w:txbxContent>
            </v:textbox>
          </v:shape>
        </v:group>
      </w:pict>
    </w:r>
    <w:r w:rsidRPr="00231954">
      <w:rPr>
        <w:rStyle w:val="HeaderTitleChar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1" type="#_x0000_t176" style="position:absolute;left:0;text-align:left;margin-left:504.05pt;margin-top:0;width:35.1pt;height:290.55pt;rotation:180;z-index:251762688;mso-position-horizontal-relative:margin;mso-position-vertical:center;mso-position-vertical-relative:margin;mso-width-relative:margin;v-text-anchor:middle" o:allowincell="f" fillcolor="#1f497d [3215]" stroked="f" strokecolor="#f2f2f2 [3041]" strokeweight="3pt">
          <v:shadow type="perspective" color="#243f60 [1604]" opacity=".5" offset="1pt" offset2="-1pt"/>
          <v:textbox style="layout-flow:vertical;mso-layout-flow-alt:bottom-to-top;mso-next-textbox:#_x0000_s2061" inset=",0,,0">
            <w:txbxContent>
              <w:p w:rsidR="001C75F9" w:rsidRPr="00F27BBD" w:rsidRDefault="001C75F9" w:rsidP="00934306">
                <w:pPr>
                  <w:ind w:left="0" w:right="0"/>
                  <w:jc w:val="center"/>
                  <w:rPr>
                    <w:color w:val="FFFFFF" w:themeColor="background1"/>
                  </w:rPr>
                </w:pPr>
                <w:r>
                  <w:rPr>
                    <w:color w:val="FFFFFF" w:themeColor="background1"/>
                  </w:rPr>
                  <w:t>Guidance: Review</w:t>
                </w:r>
              </w:p>
            </w:txbxContent>
          </v:textbox>
          <w10:wrap anchorx="margin" anchory="margin"/>
        </v:shape>
      </w:pict>
    </w:r>
    <w:r w:rsidR="001C75F9">
      <w:rPr>
        <w:rStyle w:val="HeaderTitleChar0"/>
      </w:rPr>
      <w:t>Guidance: Review</w:t>
    </w:r>
    <w:r w:rsidR="001C75F9">
      <w:tab/>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F9" w:rsidRDefault="00231954" w:rsidP="00430EE2">
    <w:pPr>
      <w:pStyle w:val="HeaderTitle0"/>
      <w:ind w:right="-993"/>
    </w:pPr>
    <w:r>
      <w:rPr>
        <w:lang w:val="en-GB" w:eastAsia="en-GB"/>
      </w:rPr>
      <w:pict>
        <v:group id="_x0000_s2066" style="position:absolute;left:0;text-align:left;margin-left:473.8pt;margin-top:-28.05pt;width:63.35pt;height:58.75pt;z-index:251766784" coordorigin="10469,147" coordsize="1267,1175">
          <v:shapetype id="_x0000_t202" coordsize="21600,21600" o:spt="202" path="m,l,21600r21600,l21600,xe">
            <v:stroke joinstyle="miter"/>
            <v:path gradientshapeok="t" o:connecttype="rect"/>
          </v:shapetype>
          <v:shape id="_x0000_s2067" type="#_x0000_t202" style="position:absolute;left:10469;top:147;width:1267;height:810;mso-width-percent:1000;mso-position-horizontal-relative:page;mso-position-vertical-relative:top-margin-area;mso-width-percent:1000;mso-width-relative:right-margin-area;v-text-anchor:middle" o:allowincell="f" fillcolor="#5a5a5a [2109]" stroked="f">
            <v:textbox style="mso-next-textbox:#_x0000_s2067" inset=",0,,0">
              <w:txbxContent>
                <w:p w:rsidR="001C75F9" w:rsidRPr="00765129" w:rsidRDefault="001C75F9" w:rsidP="00765129">
                  <w:pPr>
                    <w:pStyle w:val="tab"/>
                    <w:ind w:left="-142" w:right="-144"/>
                    <w:jc w:val="center"/>
                    <w:rPr>
                      <w:sz w:val="28"/>
                    </w:rPr>
                  </w:pPr>
                  <w:r w:rsidRPr="00765129">
                    <w:rPr>
                      <w:sz w:val="28"/>
                    </w:rPr>
                    <w:t>Guidance</w:t>
                  </w:r>
                </w:p>
              </w:txbxContent>
            </v:textbox>
          </v:shape>
          <v:shape id="_x0000_s2068" type="#_x0000_t202" style="position:absolute;left:10469;top:951;width:1267;height:371;mso-position-horizontal-relative:page;mso-position-vertical-relative:top-margin-area;mso-width-relative:right-margin-area;v-text-anchor:middle" o:allowincell="f" fillcolor="#1f497d [3215]" stroked="f">
            <v:textbox style="mso-next-textbox:#_x0000_s2068" inset=",0,,0">
              <w:txbxContent>
                <w:p w:rsidR="001C75F9" w:rsidRPr="00765129" w:rsidRDefault="001C75F9" w:rsidP="00765129">
                  <w:pPr>
                    <w:pStyle w:val="tab"/>
                    <w:ind w:left="-142" w:right="-144"/>
                    <w:jc w:val="center"/>
                    <w:rPr>
                      <w:sz w:val="22"/>
                      <w:szCs w:val="22"/>
                    </w:rPr>
                  </w:pPr>
                  <w:r>
                    <w:rPr>
                      <w:sz w:val="22"/>
                      <w:szCs w:val="22"/>
                    </w:rPr>
                    <w:t>Statutory</w:t>
                  </w:r>
                </w:p>
              </w:txbxContent>
            </v:textbox>
          </v:shape>
        </v:group>
      </w:pict>
    </w:r>
    <w:r w:rsidRPr="00231954">
      <w:rPr>
        <w:rStyle w:val="HeaderTitleChar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65" type="#_x0000_t176" style="position:absolute;left:0;text-align:left;margin-left:504.05pt;margin-top:0;width:35.1pt;height:290.55pt;rotation:180;z-index:251765760;mso-position-horizontal-relative:margin;mso-position-vertical:center;mso-position-vertical-relative:margin;mso-width-relative:margin;v-text-anchor:middle" o:allowincell="f" fillcolor="#1f497d [3215]" stroked="f" strokecolor="#f2f2f2 [3041]" strokeweight="3pt">
          <v:shadow type="perspective" color="#243f60 [1604]" opacity=".5" offset="1pt" offset2="-1pt"/>
          <v:textbox style="layout-flow:vertical;mso-layout-flow-alt:bottom-to-top;mso-next-textbox:#_x0000_s2065" inset=",0,,0">
            <w:txbxContent>
              <w:p w:rsidR="001C75F9" w:rsidRPr="00F27BBD" w:rsidRDefault="001C75F9" w:rsidP="00934306">
                <w:pPr>
                  <w:ind w:left="0" w:right="0"/>
                  <w:jc w:val="center"/>
                  <w:rPr>
                    <w:color w:val="FFFFFF" w:themeColor="background1"/>
                  </w:rPr>
                </w:pPr>
                <w:r>
                  <w:rPr>
                    <w:color w:val="FFFFFF" w:themeColor="background1"/>
                  </w:rPr>
                  <w:t>Guidance: Statutory processes</w:t>
                </w:r>
              </w:p>
            </w:txbxContent>
          </v:textbox>
          <w10:wrap anchorx="margin" anchory="margin"/>
        </v:shape>
      </w:pict>
    </w:r>
    <w:r w:rsidR="001C75F9">
      <w:rPr>
        <w:rStyle w:val="HeaderTitleChar0"/>
      </w:rPr>
      <w:t>Guidance: Statutory processes</w:t>
    </w:r>
    <w:r w:rsidR="001C75F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2EA"/>
    <w:multiLevelType w:val="hybridMultilevel"/>
    <w:tmpl w:val="0C428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00436A"/>
    <w:multiLevelType w:val="hybridMultilevel"/>
    <w:tmpl w:val="121897B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086B15CE"/>
    <w:multiLevelType w:val="hybridMultilevel"/>
    <w:tmpl w:val="778A5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4946F9"/>
    <w:multiLevelType w:val="hybridMultilevel"/>
    <w:tmpl w:val="8D64AD18"/>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4">
    <w:nsid w:val="15A1001E"/>
    <w:multiLevelType w:val="hybridMultilevel"/>
    <w:tmpl w:val="59987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C35AC8"/>
    <w:multiLevelType w:val="hybridMultilevel"/>
    <w:tmpl w:val="FAEA7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A3C769A"/>
    <w:multiLevelType w:val="hybridMultilevel"/>
    <w:tmpl w:val="0EF8A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7D6109"/>
    <w:multiLevelType w:val="hybridMultilevel"/>
    <w:tmpl w:val="E628096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nsid w:val="3B9034D2"/>
    <w:multiLevelType w:val="hybridMultilevel"/>
    <w:tmpl w:val="243EB4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4A247E"/>
    <w:multiLevelType w:val="hybridMultilevel"/>
    <w:tmpl w:val="D3EA319A"/>
    <w:lvl w:ilvl="0" w:tplc="1D6E7A2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4818EE"/>
    <w:multiLevelType w:val="hybridMultilevel"/>
    <w:tmpl w:val="5498B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936308"/>
    <w:multiLevelType w:val="hybridMultilevel"/>
    <w:tmpl w:val="A9908DE2"/>
    <w:lvl w:ilvl="0" w:tplc="A22858C4">
      <w:start w:val="1"/>
      <w:numFmt w:val="decimal"/>
      <w:lvlText w:val="%1."/>
      <w:lvlJc w:val="left"/>
      <w:pPr>
        <w:ind w:left="76" w:hanging="360"/>
      </w:pPr>
      <w:rPr>
        <w:rFonts w:hint="default"/>
        <w:sz w:val="32"/>
        <w:szCs w:val="32"/>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2">
    <w:nsid w:val="65AA06F2"/>
    <w:multiLevelType w:val="singleLevel"/>
    <w:tmpl w:val="08090001"/>
    <w:lvl w:ilvl="0">
      <w:start w:val="1"/>
      <w:numFmt w:val="bullet"/>
      <w:lvlText w:val=""/>
      <w:lvlJc w:val="left"/>
      <w:pPr>
        <w:ind w:left="720" w:hanging="360"/>
      </w:pPr>
      <w:rPr>
        <w:rFonts w:ascii="Symbol" w:hAnsi="Symbol" w:hint="default"/>
      </w:rPr>
    </w:lvl>
  </w:abstractNum>
  <w:abstractNum w:abstractNumId="13">
    <w:nsid w:val="667E49BF"/>
    <w:multiLevelType w:val="hybridMultilevel"/>
    <w:tmpl w:val="3162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E85441"/>
    <w:multiLevelType w:val="hybridMultilevel"/>
    <w:tmpl w:val="3612C0A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75FF163E"/>
    <w:multiLevelType w:val="hybridMultilevel"/>
    <w:tmpl w:val="172A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6"/>
  </w:num>
  <w:num w:numId="5">
    <w:abstractNumId w:val="7"/>
  </w:num>
  <w:num w:numId="6">
    <w:abstractNumId w:val="1"/>
  </w:num>
  <w:num w:numId="7">
    <w:abstractNumId w:val="2"/>
  </w:num>
  <w:num w:numId="8">
    <w:abstractNumId w:val="15"/>
  </w:num>
  <w:num w:numId="9">
    <w:abstractNumId w:val="0"/>
  </w:num>
  <w:num w:numId="10">
    <w:abstractNumId w:val="3"/>
  </w:num>
  <w:num w:numId="11">
    <w:abstractNumId w:val="11"/>
  </w:num>
  <w:num w:numId="12">
    <w:abstractNumId w:val="5"/>
  </w:num>
  <w:num w:numId="13">
    <w:abstractNumId w:val="13"/>
  </w:num>
  <w:num w:numId="14">
    <w:abstractNumId w:val="9"/>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13"/>
  <w:drawingGridVerticalSpacing w:val="113"/>
  <w:characterSpacingControl w:val="doNotCompress"/>
  <w:hdrShapeDefaults>
    <o:shapedefaults v:ext="edit" spidmax="2095" style="v-text-anchor:middle" fillcolor="white">
      <v:fill color="white"/>
    </o:shapedefaults>
    <o:shapelayout v:ext="edit">
      <o:idmap v:ext="edit" data="2"/>
    </o:shapelayout>
  </w:hdrShapeDefaults>
  <w:footnotePr>
    <w:footnote w:id="-1"/>
    <w:footnote w:id="0"/>
  </w:footnotePr>
  <w:endnotePr>
    <w:endnote w:id="-1"/>
    <w:endnote w:id="0"/>
  </w:endnotePr>
  <w:compat/>
  <w:docVars>
    <w:docVar w:name="dgnword-docGUID" w:val="{7E987CEE-19BD-4C00-ADCB-A68AA8314CB1}"/>
    <w:docVar w:name="dgnword-eventsink" w:val="36928608"/>
  </w:docVars>
  <w:rsids>
    <w:rsidRoot w:val="00765129"/>
    <w:rsid w:val="000052B7"/>
    <w:rsid w:val="000160D8"/>
    <w:rsid w:val="000167E4"/>
    <w:rsid w:val="00022A6A"/>
    <w:rsid w:val="0002785E"/>
    <w:rsid w:val="00032CC6"/>
    <w:rsid w:val="0003689F"/>
    <w:rsid w:val="0005055B"/>
    <w:rsid w:val="00051480"/>
    <w:rsid w:val="00055755"/>
    <w:rsid w:val="00057B84"/>
    <w:rsid w:val="000607E0"/>
    <w:rsid w:val="00072688"/>
    <w:rsid w:val="00075E67"/>
    <w:rsid w:val="00081F27"/>
    <w:rsid w:val="0008255D"/>
    <w:rsid w:val="0009614E"/>
    <w:rsid w:val="000A1AF3"/>
    <w:rsid w:val="000A293E"/>
    <w:rsid w:val="000A75A1"/>
    <w:rsid w:val="000A7C01"/>
    <w:rsid w:val="000B3683"/>
    <w:rsid w:val="000B56A6"/>
    <w:rsid w:val="000B7696"/>
    <w:rsid w:val="000C0DFB"/>
    <w:rsid w:val="000D272E"/>
    <w:rsid w:val="000D4D80"/>
    <w:rsid w:val="000D605E"/>
    <w:rsid w:val="000E5D22"/>
    <w:rsid w:val="000F1621"/>
    <w:rsid w:val="00100534"/>
    <w:rsid w:val="0011084B"/>
    <w:rsid w:val="00122E5D"/>
    <w:rsid w:val="00126A1D"/>
    <w:rsid w:val="00133BCB"/>
    <w:rsid w:val="001353FF"/>
    <w:rsid w:val="00135400"/>
    <w:rsid w:val="00143B57"/>
    <w:rsid w:val="00146678"/>
    <w:rsid w:val="00146A2E"/>
    <w:rsid w:val="00150764"/>
    <w:rsid w:val="00160C8E"/>
    <w:rsid w:val="001617F9"/>
    <w:rsid w:val="00161EEC"/>
    <w:rsid w:val="00163F4B"/>
    <w:rsid w:val="00165184"/>
    <w:rsid w:val="00172524"/>
    <w:rsid w:val="0017306D"/>
    <w:rsid w:val="001752E9"/>
    <w:rsid w:val="00175E11"/>
    <w:rsid w:val="001767EB"/>
    <w:rsid w:val="0018082D"/>
    <w:rsid w:val="00184537"/>
    <w:rsid w:val="00191022"/>
    <w:rsid w:val="00191A37"/>
    <w:rsid w:val="00195CEE"/>
    <w:rsid w:val="001974BB"/>
    <w:rsid w:val="001A21BF"/>
    <w:rsid w:val="001A479A"/>
    <w:rsid w:val="001B5234"/>
    <w:rsid w:val="001B596A"/>
    <w:rsid w:val="001C1CBC"/>
    <w:rsid w:val="001C75F9"/>
    <w:rsid w:val="001E0631"/>
    <w:rsid w:val="001E4AF5"/>
    <w:rsid w:val="002028BC"/>
    <w:rsid w:val="0020322E"/>
    <w:rsid w:val="0020410D"/>
    <w:rsid w:val="00204AE2"/>
    <w:rsid w:val="002068DA"/>
    <w:rsid w:val="00207AC2"/>
    <w:rsid w:val="00210F29"/>
    <w:rsid w:val="00211332"/>
    <w:rsid w:val="00221E83"/>
    <w:rsid w:val="0023139C"/>
    <w:rsid w:val="00231954"/>
    <w:rsid w:val="0023515E"/>
    <w:rsid w:val="002370A2"/>
    <w:rsid w:val="00240800"/>
    <w:rsid w:val="002426B2"/>
    <w:rsid w:val="002442DC"/>
    <w:rsid w:val="00246906"/>
    <w:rsid w:val="0026336C"/>
    <w:rsid w:val="002663C4"/>
    <w:rsid w:val="002711C1"/>
    <w:rsid w:val="002758F0"/>
    <w:rsid w:val="00284EC8"/>
    <w:rsid w:val="002A0023"/>
    <w:rsid w:val="002A53A2"/>
    <w:rsid w:val="002A552A"/>
    <w:rsid w:val="002B1E56"/>
    <w:rsid w:val="002B7B14"/>
    <w:rsid w:val="002C577C"/>
    <w:rsid w:val="002D2478"/>
    <w:rsid w:val="002D54BB"/>
    <w:rsid w:val="002E1F2E"/>
    <w:rsid w:val="002E241A"/>
    <w:rsid w:val="002E5F27"/>
    <w:rsid w:val="002F2C99"/>
    <w:rsid w:val="003069C7"/>
    <w:rsid w:val="0031070B"/>
    <w:rsid w:val="003120AF"/>
    <w:rsid w:val="00316C7F"/>
    <w:rsid w:val="00323D15"/>
    <w:rsid w:val="00327846"/>
    <w:rsid w:val="00334B85"/>
    <w:rsid w:val="00342C61"/>
    <w:rsid w:val="00345AF3"/>
    <w:rsid w:val="00347EA3"/>
    <w:rsid w:val="00350B5A"/>
    <w:rsid w:val="003561D1"/>
    <w:rsid w:val="00357057"/>
    <w:rsid w:val="003623A4"/>
    <w:rsid w:val="003651EB"/>
    <w:rsid w:val="0036779E"/>
    <w:rsid w:val="003710CC"/>
    <w:rsid w:val="00371AB6"/>
    <w:rsid w:val="0037594E"/>
    <w:rsid w:val="003775E8"/>
    <w:rsid w:val="00382DF6"/>
    <w:rsid w:val="00384EDE"/>
    <w:rsid w:val="003859ED"/>
    <w:rsid w:val="00397DFD"/>
    <w:rsid w:val="003B4EFF"/>
    <w:rsid w:val="003B537C"/>
    <w:rsid w:val="003C3CB5"/>
    <w:rsid w:val="003D08E6"/>
    <w:rsid w:val="003D476E"/>
    <w:rsid w:val="003D6BB2"/>
    <w:rsid w:val="003E4E93"/>
    <w:rsid w:val="003E5E11"/>
    <w:rsid w:val="003F00CF"/>
    <w:rsid w:val="003F05F0"/>
    <w:rsid w:val="003F1F8D"/>
    <w:rsid w:val="003F206E"/>
    <w:rsid w:val="003F5859"/>
    <w:rsid w:val="003F6EE8"/>
    <w:rsid w:val="003F7503"/>
    <w:rsid w:val="004009F3"/>
    <w:rsid w:val="00402DB6"/>
    <w:rsid w:val="004047FF"/>
    <w:rsid w:val="0041163D"/>
    <w:rsid w:val="00411D57"/>
    <w:rsid w:val="00415BB8"/>
    <w:rsid w:val="004216B8"/>
    <w:rsid w:val="004230C9"/>
    <w:rsid w:val="004238EA"/>
    <w:rsid w:val="00425DA0"/>
    <w:rsid w:val="00427252"/>
    <w:rsid w:val="00427C66"/>
    <w:rsid w:val="00430EE2"/>
    <w:rsid w:val="00436676"/>
    <w:rsid w:val="00437886"/>
    <w:rsid w:val="0044058A"/>
    <w:rsid w:val="00442B28"/>
    <w:rsid w:val="00455547"/>
    <w:rsid w:val="004672D0"/>
    <w:rsid w:val="004708E4"/>
    <w:rsid w:val="00472DD3"/>
    <w:rsid w:val="0047495F"/>
    <w:rsid w:val="00483E0F"/>
    <w:rsid w:val="00484E08"/>
    <w:rsid w:val="004869BC"/>
    <w:rsid w:val="0048759B"/>
    <w:rsid w:val="00493C65"/>
    <w:rsid w:val="004A01FB"/>
    <w:rsid w:val="004A1A71"/>
    <w:rsid w:val="004A32C5"/>
    <w:rsid w:val="004A5A8B"/>
    <w:rsid w:val="004A68F9"/>
    <w:rsid w:val="004B04E4"/>
    <w:rsid w:val="004B24D7"/>
    <w:rsid w:val="004B3582"/>
    <w:rsid w:val="004C01F0"/>
    <w:rsid w:val="004C2D27"/>
    <w:rsid w:val="004C6DA8"/>
    <w:rsid w:val="004F0286"/>
    <w:rsid w:val="004F17F7"/>
    <w:rsid w:val="004F23B5"/>
    <w:rsid w:val="004F648D"/>
    <w:rsid w:val="004F66EA"/>
    <w:rsid w:val="004F670C"/>
    <w:rsid w:val="004F69D1"/>
    <w:rsid w:val="005003D5"/>
    <w:rsid w:val="005007F4"/>
    <w:rsid w:val="005024E0"/>
    <w:rsid w:val="0050729C"/>
    <w:rsid w:val="00510281"/>
    <w:rsid w:val="005134C9"/>
    <w:rsid w:val="00513A52"/>
    <w:rsid w:val="00516019"/>
    <w:rsid w:val="0052175D"/>
    <w:rsid w:val="00524D82"/>
    <w:rsid w:val="005267A2"/>
    <w:rsid w:val="00526BAE"/>
    <w:rsid w:val="005312AA"/>
    <w:rsid w:val="00533F2C"/>
    <w:rsid w:val="00536195"/>
    <w:rsid w:val="0054086B"/>
    <w:rsid w:val="005410AA"/>
    <w:rsid w:val="005516D9"/>
    <w:rsid w:val="00551F8A"/>
    <w:rsid w:val="00554792"/>
    <w:rsid w:val="00556476"/>
    <w:rsid w:val="00561FE6"/>
    <w:rsid w:val="00577153"/>
    <w:rsid w:val="00581809"/>
    <w:rsid w:val="00582211"/>
    <w:rsid w:val="00587AEB"/>
    <w:rsid w:val="005908E8"/>
    <w:rsid w:val="00595E01"/>
    <w:rsid w:val="005A3178"/>
    <w:rsid w:val="005B31D2"/>
    <w:rsid w:val="005C1718"/>
    <w:rsid w:val="005D1783"/>
    <w:rsid w:val="005D3F05"/>
    <w:rsid w:val="005D4942"/>
    <w:rsid w:val="005D5F09"/>
    <w:rsid w:val="005E0CF8"/>
    <w:rsid w:val="005E33E3"/>
    <w:rsid w:val="005E53C2"/>
    <w:rsid w:val="005F6223"/>
    <w:rsid w:val="005F6F57"/>
    <w:rsid w:val="00605794"/>
    <w:rsid w:val="0060728B"/>
    <w:rsid w:val="00607B33"/>
    <w:rsid w:val="00620672"/>
    <w:rsid w:val="006421E3"/>
    <w:rsid w:val="006475BA"/>
    <w:rsid w:val="00647600"/>
    <w:rsid w:val="00654B7F"/>
    <w:rsid w:val="00660FF2"/>
    <w:rsid w:val="006724BC"/>
    <w:rsid w:val="0067581E"/>
    <w:rsid w:val="006759AD"/>
    <w:rsid w:val="00685330"/>
    <w:rsid w:val="00692DC1"/>
    <w:rsid w:val="00694BBA"/>
    <w:rsid w:val="00695F27"/>
    <w:rsid w:val="006963DD"/>
    <w:rsid w:val="0069784D"/>
    <w:rsid w:val="006A238F"/>
    <w:rsid w:val="006A6C32"/>
    <w:rsid w:val="006B5A32"/>
    <w:rsid w:val="006C0526"/>
    <w:rsid w:val="006C27B5"/>
    <w:rsid w:val="006C2BAE"/>
    <w:rsid w:val="006C74D2"/>
    <w:rsid w:val="006D1B1D"/>
    <w:rsid w:val="006D2179"/>
    <w:rsid w:val="006E1DF7"/>
    <w:rsid w:val="006E24A9"/>
    <w:rsid w:val="006E788A"/>
    <w:rsid w:val="006E7A3A"/>
    <w:rsid w:val="006F2B2D"/>
    <w:rsid w:val="006F3DE5"/>
    <w:rsid w:val="006F7525"/>
    <w:rsid w:val="0070536B"/>
    <w:rsid w:val="00714E76"/>
    <w:rsid w:val="00716F3E"/>
    <w:rsid w:val="00721E6A"/>
    <w:rsid w:val="0073473D"/>
    <w:rsid w:val="00740E2C"/>
    <w:rsid w:val="0074671E"/>
    <w:rsid w:val="007545C1"/>
    <w:rsid w:val="00756772"/>
    <w:rsid w:val="00760CCB"/>
    <w:rsid w:val="00763E44"/>
    <w:rsid w:val="00765129"/>
    <w:rsid w:val="00766333"/>
    <w:rsid w:val="00766A80"/>
    <w:rsid w:val="00785B33"/>
    <w:rsid w:val="0079168C"/>
    <w:rsid w:val="007925B9"/>
    <w:rsid w:val="007A23F4"/>
    <w:rsid w:val="007A4253"/>
    <w:rsid w:val="007A6089"/>
    <w:rsid w:val="007C0084"/>
    <w:rsid w:val="007D1A23"/>
    <w:rsid w:val="007D585A"/>
    <w:rsid w:val="007E2316"/>
    <w:rsid w:val="007E5255"/>
    <w:rsid w:val="007F0FE7"/>
    <w:rsid w:val="00807941"/>
    <w:rsid w:val="008136D1"/>
    <w:rsid w:val="008237DA"/>
    <w:rsid w:val="00831961"/>
    <w:rsid w:val="00834988"/>
    <w:rsid w:val="00837D44"/>
    <w:rsid w:val="00856027"/>
    <w:rsid w:val="00856849"/>
    <w:rsid w:val="00872AE9"/>
    <w:rsid w:val="00876FED"/>
    <w:rsid w:val="008844FE"/>
    <w:rsid w:val="008870C8"/>
    <w:rsid w:val="00887C32"/>
    <w:rsid w:val="00887E4C"/>
    <w:rsid w:val="008903EB"/>
    <w:rsid w:val="008952E0"/>
    <w:rsid w:val="008A1D69"/>
    <w:rsid w:val="008B183C"/>
    <w:rsid w:val="008B191B"/>
    <w:rsid w:val="008B440E"/>
    <w:rsid w:val="008B6899"/>
    <w:rsid w:val="008C12DA"/>
    <w:rsid w:val="008D6D1E"/>
    <w:rsid w:val="008D7C21"/>
    <w:rsid w:val="008E245A"/>
    <w:rsid w:val="008E5819"/>
    <w:rsid w:val="008F142A"/>
    <w:rsid w:val="00903A64"/>
    <w:rsid w:val="0090652C"/>
    <w:rsid w:val="00910E36"/>
    <w:rsid w:val="00914839"/>
    <w:rsid w:val="00920822"/>
    <w:rsid w:val="0092207B"/>
    <w:rsid w:val="00922832"/>
    <w:rsid w:val="00922E56"/>
    <w:rsid w:val="0092415F"/>
    <w:rsid w:val="00927140"/>
    <w:rsid w:val="00927EA5"/>
    <w:rsid w:val="00930325"/>
    <w:rsid w:val="0093368B"/>
    <w:rsid w:val="00934306"/>
    <w:rsid w:val="00943F51"/>
    <w:rsid w:val="009449D6"/>
    <w:rsid w:val="0095427C"/>
    <w:rsid w:val="009725F9"/>
    <w:rsid w:val="00975ECF"/>
    <w:rsid w:val="00980A87"/>
    <w:rsid w:val="0098178F"/>
    <w:rsid w:val="009818EB"/>
    <w:rsid w:val="0098219A"/>
    <w:rsid w:val="00987D44"/>
    <w:rsid w:val="00995DBA"/>
    <w:rsid w:val="00996AF1"/>
    <w:rsid w:val="009978B1"/>
    <w:rsid w:val="009A24BA"/>
    <w:rsid w:val="009A68F9"/>
    <w:rsid w:val="009A7F7D"/>
    <w:rsid w:val="009B5586"/>
    <w:rsid w:val="009C0915"/>
    <w:rsid w:val="009C28DC"/>
    <w:rsid w:val="009C38FE"/>
    <w:rsid w:val="009E433C"/>
    <w:rsid w:val="009E4B59"/>
    <w:rsid w:val="009E567C"/>
    <w:rsid w:val="009E701C"/>
    <w:rsid w:val="009F4CA5"/>
    <w:rsid w:val="00A01FA0"/>
    <w:rsid w:val="00A02C73"/>
    <w:rsid w:val="00A07067"/>
    <w:rsid w:val="00A07401"/>
    <w:rsid w:val="00A11A74"/>
    <w:rsid w:val="00A16059"/>
    <w:rsid w:val="00A21446"/>
    <w:rsid w:val="00A27CAA"/>
    <w:rsid w:val="00A30322"/>
    <w:rsid w:val="00A32B58"/>
    <w:rsid w:val="00A43725"/>
    <w:rsid w:val="00A54027"/>
    <w:rsid w:val="00A6042B"/>
    <w:rsid w:val="00A626F9"/>
    <w:rsid w:val="00A62F4D"/>
    <w:rsid w:val="00A67814"/>
    <w:rsid w:val="00A71451"/>
    <w:rsid w:val="00A72BBC"/>
    <w:rsid w:val="00A763E4"/>
    <w:rsid w:val="00A8030D"/>
    <w:rsid w:val="00A8102A"/>
    <w:rsid w:val="00A8245F"/>
    <w:rsid w:val="00A8646D"/>
    <w:rsid w:val="00A958ED"/>
    <w:rsid w:val="00AA0332"/>
    <w:rsid w:val="00AA1CB9"/>
    <w:rsid w:val="00AB2308"/>
    <w:rsid w:val="00AB3D04"/>
    <w:rsid w:val="00AB7A82"/>
    <w:rsid w:val="00AC292D"/>
    <w:rsid w:val="00AC326B"/>
    <w:rsid w:val="00AC4321"/>
    <w:rsid w:val="00AC4524"/>
    <w:rsid w:val="00AC554D"/>
    <w:rsid w:val="00AC5D85"/>
    <w:rsid w:val="00AD0217"/>
    <w:rsid w:val="00AD506A"/>
    <w:rsid w:val="00AE4F6F"/>
    <w:rsid w:val="00AE5C92"/>
    <w:rsid w:val="00AE5F69"/>
    <w:rsid w:val="00AE73FF"/>
    <w:rsid w:val="00AF6BBE"/>
    <w:rsid w:val="00B0142B"/>
    <w:rsid w:val="00B07A57"/>
    <w:rsid w:val="00B07E42"/>
    <w:rsid w:val="00B10523"/>
    <w:rsid w:val="00B12463"/>
    <w:rsid w:val="00B22AD0"/>
    <w:rsid w:val="00B246FC"/>
    <w:rsid w:val="00B2668F"/>
    <w:rsid w:val="00B302C0"/>
    <w:rsid w:val="00B375EF"/>
    <w:rsid w:val="00B51462"/>
    <w:rsid w:val="00B62EA1"/>
    <w:rsid w:val="00B66D25"/>
    <w:rsid w:val="00B66E9E"/>
    <w:rsid w:val="00B723E2"/>
    <w:rsid w:val="00B879DE"/>
    <w:rsid w:val="00B90AFD"/>
    <w:rsid w:val="00B93E81"/>
    <w:rsid w:val="00B945A9"/>
    <w:rsid w:val="00B971B2"/>
    <w:rsid w:val="00BA7885"/>
    <w:rsid w:val="00BB020A"/>
    <w:rsid w:val="00BB109C"/>
    <w:rsid w:val="00BB4924"/>
    <w:rsid w:val="00BB5AA5"/>
    <w:rsid w:val="00BB67D9"/>
    <w:rsid w:val="00BB6E06"/>
    <w:rsid w:val="00BB706C"/>
    <w:rsid w:val="00BC2256"/>
    <w:rsid w:val="00BD0847"/>
    <w:rsid w:val="00BD0C2D"/>
    <w:rsid w:val="00BD3F21"/>
    <w:rsid w:val="00BD4A27"/>
    <w:rsid w:val="00BD601D"/>
    <w:rsid w:val="00BE245C"/>
    <w:rsid w:val="00BE2D8F"/>
    <w:rsid w:val="00BE5D2C"/>
    <w:rsid w:val="00BE64A7"/>
    <w:rsid w:val="00BF7736"/>
    <w:rsid w:val="00C01E82"/>
    <w:rsid w:val="00C04473"/>
    <w:rsid w:val="00C15F0D"/>
    <w:rsid w:val="00C17D5D"/>
    <w:rsid w:val="00C2698A"/>
    <w:rsid w:val="00C31D5D"/>
    <w:rsid w:val="00C47585"/>
    <w:rsid w:val="00C5154B"/>
    <w:rsid w:val="00C53CE0"/>
    <w:rsid w:val="00C54182"/>
    <w:rsid w:val="00C612B4"/>
    <w:rsid w:val="00C63067"/>
    <w:rsid w:val="00C66DE1"/>
    <w:rsid w:val="00C74F22"/>
    <w:rsid w:val="00C752F0"/>
    <w:rsid w:val="00C7684F"/>
    <w:rsid w:val="00C8368E"/>
    <w:rsid w:val="00C925AD"/>
    <w:rsid w:val="00C96297"/>
    <w:rsid w:val="00C97726"/>
    <w:rsid w:val="00CA00FC"/>
    <w:rsid w:val="00CA0BC9"/>
    <w:rsid w:val="00CA487C"/>
    <w:rsid w:val="00CA4F5C"/>
    <w:rsid w:val="00CA653F"/>
    <w:rsid w:val="00CB1A16"/>
    <w:rsid w:val="00CB5B38"/>
    <w:rsid w:val="00CC2B64"/>
    <w:rsid w:val="00CC60F7"/>
    <w:rsid w:val="00CD6F01"/>
    <w:rsid w:val="00CD6F7C"/>
    <w:rsid w:val="00CE44BF"/>
    <w:rsid w:val="00CF7E21"/>
    <w:rsid w:val="00D00788"/>
    <w:rsid w:val="00D12BAB"/>
    <w:rsid w:val="00D16B32"/>
    <w:rsid w:val="00D21A81"/>
    <w:rsid w:val="00D25E2F"/>
    <w:rsid w:val="00D26837"/>
    <w:rsid w:val="00D26ABD"/>
    <w:rsid w:val="00D328C5"/>
    <w:rsid w:val="00D33284"/>
    <w:rsid w:val="00D379CC"/>
    <w:rsid w:val="00D41D99"/>
    <w:rsid w:val="00D66B83"/>
    <w:rsid w:val="00D67690"/>
    <w:rsid w:val="00D67C66"/>
    <w:rsid w:val="00D71745"/>
    <w:rsid w:val="00D72586"/>
    <w:rsid w:val="00D8515D"/>
    <w:rsid w:val="00D8661E"/>
    <w:rsid w:val="00D8725F"/>
    <w:rsid w:val="00D902CA"/>
    <w:rsid w:val="00D90EE5"/>
    <w:rsid w:val="00D91549"/>
    <w:rsid w:val="00D96E75"/>
    <w:rsid w:val="00DA2232"/>
    <w:rsid w:val="00DA5FC2"/>
    <w:rsid w:val="00DA65C4"/>
    <w:rsid w:val="00DB4C7B"/>
    <w:rsid w:val="00DC1386"/>
    <w:rsid w:val="00DC2FC2"/>
    <w:rsid w:val="00DD055E"/>
    <w:rsid w:val="00DD7F41"/>
    <w:rsid w:val="00DE5532"/>
    <w:rsid w:val="00DF093C"/>
    <w:rsid w:val="00DF3387"/>
    <w:rsid w:val="00E003F9"/>
    <w:rsid w:val="00E0258F"/>
    <w:rsid w:val="00E07744"/>
    <w:rsid w:val="00E219D2"/>
    <w:rsid w:val="00E26C0E"/>
    <w:rsid w:val="00E304A8"/>
    <w:rsid w:val="00E3319B"/>
    <w:rsid w:val="00E3679C"/>
    <w:rsid w:val="00E43099"/>
    <w:rsid w:val="00E45EC8"/>
    <w:rsid w:val="00E47E74"/>
    <w:rsid w:val="00E51F57"/>
    <w:rsid w:val="00E6017A"/>
    <w:rsid w:val="00E62362"/>
    <w:rsid w:val="00E66E2A"/>
    <w:rsid w:val="00E76184"/>
    <w:rsid w:val="00E843B9"/>
    <w:rsid w:val="00E85461"/>
    <w:rsid w:val="00EA2C6E"/>
    <w:rsid w:val="00EA6784"/>
    <w:rsid w:val="00EB0D74"/>
    <w:rsid w:val="00EB12FC"/>
    <w:rsid w:val="00EB42EC"/>
    <w:rsid w:val="00EB47A1"/>
    <w:rsid w:val="00EB545E"/>
    <w:rsid w:val="00EB77FC"/>
    <w:rsid w:val="00EC1E26"/>
    <w:rsid w:val="00EC3573"/>
    <w:rsid w:val="00EC5DF6"/>
    <w:rsid w:val="00ED1EEF"/>
    <w:rsid w:val="00ED5160"/>
    <w:rsid w:val="00ED6F42"/>
    <w:rsid w:val="00EE33BD"/>
    <w:rsid w:val="00EE4912"/>
    <w:rsid w:val="00EE542D"/>
    <w:rsid w:val="00EF209A"/>
    <w:rsid w:val="00EF50B4"/>
    <w:rsid w:val="00F00A20"/>
    <w:rsid w:val="00F01A66"/>
    <w:rsid w:val="00F219EF"/>
    <w:rsid w:val="00F23392"/>
    <w:rsid w:val="00F247C1"/>
    <w:rsid w:val="00F27BBD"/>
    <w:rsid w:val="00F30C99"/>
    <w:rsid w:val="00F322F5"/>
    <w:rsid w:val="00F356CD"/>
    <w:rsid w:val="00F431F5"/>
    <w:rsid w:val="00F46906"/>
    <w:rsid w:val="00F5379F"/>
    <w:rsid w:val="00F5383C"/>
    <w:rsid w:val="00F54106"/>
    <w:rsid w:val="00F55034"/>
    <w:rsid w:val="00F62ACE"/>
    <w:rsid w:val="00F62B7A"/>
    <w:rsid w:val="00F725FD"/>
    <w:rsid w:val="00F72B59"/>
    <w:rsid w:val="00F75EED"/>
    <w:rsid w:val="00F80905"/>
    <w:rsid w:val="00F82971"/>
    <w:rsid w:val="00F83AEF"/>
    <w:rsid w:val="00F86FE4"/>
    <w:rsid w:val="00F916C0"/>
    <w:rsid w:val="00F92882"/>
    <w:rsid w:val="00F94BBD"/>
    <w:rsid w:val="00FA60BF"/>
    <w:rsid w:val="00FB0E4E"/>
    <w:rsid w:val="00FB4DCA"/>
    <w:rsid w:val="00FB58EA"/>
    <w:rsid w:val="00FC27D6"/>
    <w:rsid w:val="00FC3A64"/>
    <w:rsid w:val="00FC49C6"/>
    <w:rsid w:val="00FC4D6A"/>
    <w:rsid w:val="00FC6FB2"/>
    <w:rsid w:val="00FF3645"/>
    <w:rsid w:val="00FF3C9E"/>
    <w:rsid w:val="00FF5B3C"/>
    <w:rsid w:val="00FF5C51"/>
    <w:rsid w:val="00FF6C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5" style="v-text-anchor:middle" fillcolor="white">
      <v:fill color="white"/>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SEN"/>
    <w:qFormat/>
    <w:rsid w:val="00F92882"/>
    <w:pPr>
      <w:spacing w:after="0" w:line="240" w:lineRule="auto"/>
      <w:ind w:left="-284" w:right="142"/>
    </w:pPr>
    <w:rPr>
      <w:rFonts w:ascii="Calibri" w:eastAsia="Times New Roman" w:hAnsi="Calibri" w:cs="Arial"/>
      <w:sz w:val="32"/>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54D"/>
    <w:pPr>
      <w:tabs>
        <w:tab w:val="center" w:pos="4513"/>
        <w:tab w:val="right" w:pos="9026"/>
      </w:tabs>
    </w:pPr>
    <w:rPr>
      <w:rFonts w:eastAsiaTheme="minorHAnsi" w:cstheme="minorBidi"/>
      <w:sz w:val="22"/>
      <w:szCs w:val="22"/>
      <w:lang w:eastAsia="en-US"/>
    </w:rPr>
  </w:style>
  <w:style w:type="character" w:customStyle="1" w:styleId="HeaderChar">
    <w:name w:val="Header Char"/>
    <w:basedOn w:val="DefaultParagraphFont"/>
    <w:link w:val="Header"/>
    <w:uiPriority w:val="99"/>
    <w:rsid w:val="00AC554D"/>
  </w:style>
  <w:style w:type="paragraph" w:styleId="Footer">
    <w:name w:val="footer"/>
    <w:basedOn w:val="Normal"/>
    <w:link w:val="FooterChar"/>
    <w:uiPriority w:val="99"/>
    <w:unhideWhenUsed/>
    <w:rsid w:val="00AC554D"/>
    <w:pPr>
      <w:tabs>
        <w:tab w:val="center" w:pos="4513"/>
        <w:tab w:val="right" w:pos="9026"/>
      </w:tabs>
    </w:pPr>
    <w:rPr>
      <w:rFonts w:eastAsiaTheme="minorHAnsi" w:cstheme="minorBidi"/>
      <w:sz w:val="22"/>
      <w:szCs w:val="22"/>
      <w:lang w:eastAsia="en-US"/>
    </w:rPr>
  </w:style>
  <w:style w:type="character" w:customStyle="1" w:styleId="FooterChar">
    <w:name w:val="Footer Char"/>
    <w:basedOn w:val="DefaultParagraphFont"/>
    <w:link w:val="Footer"/>
    <w:uiPriority w:val="99"/>
    <w:rsid w:val="00AC554D"/>
  </w:style>
  <w:style w:type="paragraph" w:styleId="BalloonText">
    <w:name w:val="Balloon Text"/>
    <w:basedOn w:val="Normal"/>
    <w:link w:val="BalloonTextChar"/>
    <w:uiPriority w:val="99"/>
    <w:semiHidden/>
    <w:unhideWhenUsed/>
    <w:rsid w:val="00AC554D"/>
    <w:rPr>
      <w:rFonts w:ascii="Tahoma" w:eastAsiaTheme="minorHAnsi" w:hAnsi="Tahoma" w:cs="Tahoma"/>
      <w:sz w:val="16"/>
      <w:lang w:eastAsia="en-US"/>
    </w:rPr>
  </w:style>
  <w:style w:type="character" w:customStyle="1" w:styleId="BalloonTextChar">
    <w:name w:val="Balloon Text Char"/>
    <w:basedOn w:val="DefaultParagraphFont"/>
    <w:link w:val="BalloonText"/>
    <w:uiPriority w:val="99"/>
    <w:semiHidden/>
    <w:rsid w:val="00AC554D"/>
    <w:rPr>
      <w:rFonts w:ascii="Tahoma" w:hAnsi="Tahoma" w:cs="Tahoma"/>
      <w:sz w:val="16"/>
      <w:szCs w:val="16"/>
    </w:rPr>
  </w:style>
  <w:style w:type="table" w:styleId="TableGrid">
    <w:name w:val="Table Grid"/>
    <w:basedOn w:val="TableNormal"/>
    <w:uiPriority w:val="59"/>
    <w:rsid w:val="0055647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440E"/>
    <w:rPr>
      <w:color w:val="0000FF" w:themeColor="hyperlink"/>
      <w:u w:val="single"/>
    </w:rPr>
  </w:style>
  <w:style w:type="paragraph" w:styleId="ListParagraph">
    <w:name w:val="List Paragraph"/>
    <w:basedOn w:val="Normal"/>
    <w:uiPriority w:val="34"/>
    <w:qFormat/>
    <w:rsid w:val="001C1CBC"/>
    <w:pPr>
      <w:spacing w:after="200" w:line="276" w:lineRule="auto"/>
      <w:ind w:left="720"/>
      <w:contextualSpacing/>
    </w:pPr>
    <w:rPr>
      <w:rFonts w:eastAsiaTheme="minorHAnsi" w:cstheme="minorBidi"/>
      <w:sz w:val="22"/>
      <w:szCs w:val="22"/>
      <w:lang w:eastAsia="en-US"/>
    </w:rPr>
  </w:style>
  <w:style w:type="paragraph" w:styleId="NoSpacing">
    <w:name w:val="No Spacing"/>
    <w:uiPriority w:val="1"/>
    <w:qFormat/>
    <w:rsid w:val="0060728B"/>
    <w:pPr>
      <w:spacing w:after="0" w:line="240" w:lineRule="auto"/>
      <w:ind w:left="-284" w:right="-1440"/>
    </w:pPr>
    <w:rPr>
      <w:rFonts w:eastAsia="Times New Roman" w:cs="Arial"/>
      <w:sz w:val="32"/>
      <w:szCs w:val="16"/>
      <w:lang w:eastAsia="en-GB"/>
    </w:rPr>
  </w:style>
  <w:style w:type="paragraph" w:customStyle="1" w:styleId="Headertitle">
    <w:name w:val="Header title"/>
    <w:basedOn w:val="Header"/>
    <w:link w:val="HeadertitleChar"/>
    <w:rsid w:val="000052B7"/>
    <w:pPr>
      <w:ind w:left="-426" w:firstLine="426"/>
    </w:pPr>
    <w:rPr>
      <w:sz w:val="40"/>
    </w:rPr>
  </w:style>
  <w:style w:type="paragraph" w:customStyle="1" w:styleId="Instruction">
    <w:name w:val="Instruction"/>
    <w:basedOn w:val="Normal"/>
    <w:link w:val="InstructionChar"/>
    <w:qFormat/>
    <w:rsid w:val="00CF7E21"/>
    <w:pPr>
      <w:ind w:right="141"/>
    </w:pPr>
  </w:style>
  <w:style w:type="character" w:customStyle="1" w:styleId="HeadertitleChar">
    <w:name w:val="Header title Char"/>
    <w:basedOn w:val="HeaderChar"/>
    <w:link w:val="Headertitle"/>
    <w:rsid w:val="000052B7"/>
    <w:rPr>
      <w:sz w:val="40"/>
    </w:rPr>
  </w:style>
  <w:style w:type="paragraph" w:customStyle="1" w:styleId="HeaderTitle0">
    <w:name w:val="Header: Title"/>
    <w:basedOn w:val="Header"/>
    <w:link w:val="HeaderTitleChar0"/>
    <w:qFormat/>
    <w:rsid w:val="000052B7"/>
    <w:rPr>
      <w:noProof/>
      <w:sz w:val="40"/>
      <w:lang w:val="en-US"/>
    </w:rPr>
  </w:style>
  <w:style w:type="character" w:customStyle="1" w:styleId="InstructionChar">
    <w:name w:val="Instruction Char"/>
    <w:basedOn w:val="DefaultParagraphFont"/>
    <w:link w:val="Instruction"/>
    <w:rsid w:val="00CF7E21"/>
    <w:rPr>
      <w:rFonts w:ascii="Calibri" w:eastAsia="Times New Roman" w:hAnsi="Calibri" w:cs="Arial"/>
      <w:sz w:val="32"/>
      <w:szCs w:val="16"/>
      <w:lang w:eastAsia="en-GB"/>
    </w:rPr>
  </w:style>
  <w:style w:type="paragraph" w:customStyle="1" w:styleId="Tablebody">
    <w:name w:val="Table body"/>
    <w:link w:val="TablebodyChar"/>
    <w:qFormat/>
    <w:rsid w:val="005312AA"/>
    <w:pPr>
      <w:ind w:right="141"/>
    </w:pPr>
    <w:rPr>
      <w:rFonts w:ascii="Calibri" w:eastAsia="Times New Roman" w:hAnsi="Calibri" w:cs="Arial"/>
      <w:sz w:val="24"/>
      <w:szCs w:val="24"/>
      <w:lang w:eastAsia="en-GB"/>
    </w:rPr>
  </w:style>
  <w:style w:type="character" w:customStyle="1" w:styleId="HeaderTitleChar0">
    <w:name w:val="Header: Title Char"/>
    <w:basedOn w:val="HeaderChar"/>
    <w:link w:val="HeaderTitle0"/>
    <w:rsid w:val="000052B7"/>
    <w:rPr>
      <w:noProof/>
      <w:sz w:val="40"/>
      <w:lang w:val="en-US"/>
    </w:rPr>
  </w:style>
  <w:style w:type="paragraph" w:customStyle="1" w:styleId="Tableheading1">
    <w:name w:val="Table heading 1"/>
    <w:basedOn w:val="Normal"/>
    <w:link w:val="Tableheading1Char"/>
    <w:qFormat/>
    <w:rsid w:val="00BB5AA5"/>
    <w:pPr>
      <w:ind w:left="0" w:right="0"/>
    </w:pPr>
    <w:rPr>
      <w:b/>
      <w:color w:val="FFFFFF" w:themeColor="background1"/>
    </w:rPr>
  </w:style>
  <w:style w:type="character" w:customStyle="1" w:styleId="TablebodyChar">
    <w:name w:val="Table body Char"/>
    <w:basedOn w:val="DefaultParagraphFont"/>
    <w:link w:val="Tablebody"/>
    <w:rsid w:val="005312AA"/>
    <w:rPr>
      <w:rFonts w:ascii="Calibri" w:eastAsia="Times New Roman" w:hAnsi="Calibri" w:cs="Arial"/>
      <w:sz w:val="24"/>
      <w:szCs w:val="24"/>
      <w:lang w:eastAsia="en-GB"/>
    </w:rPr>
  </w:style>
  <w:style w:type="paragraph" w:customStyle="1" w:styleId="In-pageheading">
    <w:name w:val="In-page heading"/>
    <w:basedOn w:val="Normal"/>
    <w:link w:val="In-pageheadingChar"/>
    <w:qFormat/>
    <w:rsid w:val="00DA65C4"/>
    <w:rPr>
      <w:b/>
      <w:sz w:val="36"/>
    </w:rPr>
  </w:style>
  <w:style w:type="character" w:customStyle="1" w:styleId="Tableheading1Char">
    <w:name w:val="Table heading 1 Char"/>
    <w:basedOn w:val="DefaultParagraphFont"/>
    <w:link w:val="Tableheading1"/>
    <w:rsid w:val="00BB5AA5"/>
    <w:rPr>
      <w:rFonts w:ascii="Calibri" w:eastAsia="Times New Roman" w:hAnsi="Calibri" w:cs="Arial"/>
      <w:b/>
      <w:color w:val="FFFFFF" w:themeColor="background1"/>
      <w:sz w:val="32"/>
      <w:szCs w:val="16"/>
      <w:lang w:eastAsia="en-GB"/>
    </w:rPr>
  </w:style>
  <w:style w:type="paragraph" w:customStyle="1" w:styleId="tab">
    <w:name w:val="tab"/>
    <w:basedOn w:val="Normal"/>
    <w:link w:val="tabChar"/>
    <w:qFormat/>
    <w:rsid w:val="00057B84"/>
    <w:pPr>
      <w:ind w:left="0"/>
    </w:pPr>
    <w:rPr>
      <w:color w:val="FFFFFF" w:themeColor="background1"/>
    </w:rPr>
  </w:style>
  <w:style w:type="character" w:customStyle="1" w:styleId="In-pageheadingChar">
    <w:name w:val="In-page heading Char"/>
    <w:basedOn w:val="DefaultParagraphFont"/>
    <w:link w:val="In-pageheading"/>
    <w:rsid w:val="00DA65C4"/>
    <w:rPr>
      <w:rFonts w:ascii="Calibri" w:eastAsia="Times New Roman" w:hAnsi="Calibri" w:cs="Arial"/>
      <w:b/>
      <w:sz w:val="36"/>
      <w:szCs w:val="16"/>
      <w:lang w:eastAsia="en-GB"/>
    </w:rPr>
  </w:style>
  <w:style w:type="character" w:customStyle="1" w:styleId="tabChar">
    <w:name w:val="tab Char"/>
    <w:basedOn w:val="DefaultParagraphFont"/>
    <w:link w:val="tab"/>
    <w:rsid w:val="00057B84"/>
    <w:rPr>
      <w:rFonts w:ascii="Calibri" w:eastAsia="Times New Roman" w:hAnsi="Calibri" w:cs="Arial"/>
      <w:color w:val="FFFFFF" w:themeColor="background1"/>
      <w:sz w:val="32"/>
      <w:szCs w:val="16"/>
      <w:lang w:eastAsia="en-GB"/>
    </w:rPr>
  </w:style>
  <w:style w:type="character" w:styleId="FollowedHyperlink">
    <w:name w:val="FollowedHyperlink"/>
    <w:basedOn w:val="DefaultParagraphFont"/>
    <w:uiPriority w:val="99"/>
    <w:semiHidden/>
    <w:unhideWhenUsed/>
    <w:rsid w:val="00F82971"/>
    <w:rPr>
      <w:color w:val="auto"/>
      <w:u w:val="single"/>
    </w:rPr>
  </w:style>
  <w:style w:type="character" w:styleId="PlaceholderText">
    <w:name w:val="Placeholder Text"/>
    <w:basedOn w:val="DefaultParagraphFont"/>
    <w:uiPriority w:val="99"/>
    <w:semiHidden/>
    <w:rsid w:val="00D26ABD"/>
    <w:rPr>
      <w:color w:val="808080"/>
    </w:rPr>
  </w:style>
  <w:style w:type="paragraph" w:customStyle="1" w:styleId="Name">
    <w:name w:val="Name"/>
    <w:basedOn w:val="Normal"/>
    <w:next w:val="Normal"/>
    <w:qFormat/>
    <w:rsid w:val="00A16059"/>
    <w:pPr>
      <w:ind w:left="142"/>
    </w:pPr>
    <w:rPr>
      <w:sz w:val="24"/>
    </w:rPr>
  </w:style>
  <w:style w:type="paragraph" w:customStyle="1" w:styleId="StyleTablebodyRight025cmAfter0ptLinespacingsi">
    <w:name w:val="Style Table body + Right:  0.25 cm After:  0 pt Line spacing:  si..."/>
    <w:basedOn w:val="Tablebody"/>
    <w:rsid w:val="000E5D22"/>
    <w:pPr>
      <w:spacing w:after="0" w:line="240" w:lineRule="auto"/>
      <w:ind w:right="142"/>
    </w:pPr>
    <w:rPr>
      <w:rFonts w:cs="Times New Roman"/>
      <w:szCs w:val="20"/>
    </w:rPr>
  </w:style>
  <w:style w:type="paragraph" w:customStyle="1" w:styleId="Default">
    <w:name w:val="Default"/>
    <w:rsid w:val="00D66B83"/>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unhideWhenUsed/>
    <w:rsid w:val="00F62B7A"/>
    <w:rPr>
      <w:i w:val="0"/>
      <w:iCs w:val="0"/>
      <w:color w:val="006621"/>
    </w:rPr>
  </w:style>
  <w:style w:type="character" w:styleId="CommentReference">
    <w:name w:val="annotation reference"/>
    <w:basedOn w:val="DefaultParagraphFont"/>
    <w:uiPriority w:val="99"/>
    <w:semiHidden/>
    <w:unhideWhenUsed/>
    <w:rsid w:val="00C74F22"/>
    <w:rPr>
      <w:sz w:val="16"/>
      <w:szCs w:val="16"/>
    </w:rPr>
  </w:style>
  <w:style w:type="paragraph" w:styleId="CommentText">
    <w:name w:val="annotation text"/>
    <w:basedOn w:val="Normal"/>
    <w:link w:val="CommentTextChar"/>
    <w:uiPriority w:val="99"/>
    <w:semiHidden/>
    <w:unhideWhenUsed/>
    <w:rsid w:val="00C74F22"/>
    <w:rPr>
      <w:sz w:val="20"/>
      <w:szCs w:val="20"/>
    </w:rPr>
  </w:style>
  <w:style w:type="character" w:customStyle="1" w:styleId="CommentTextChar">
    <w:name w:val="Comment Text Char"/>
    <w:basedOn w:val="DefaultParagraphFont"/>
    <w:link w:val="CommentText"/>
    <w:uiPriority w:val="99"/>
    <w:semiHidden/>
    <w:rsid w:val="00C74F22"/>
    <w:rPr>
      <w:rFonts w:ascii="Calibri" w:eastAsia="Times New Roman"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C74F22"/>
    <w:rPr>
      <w:b/>
      <w:bCs/>
    </w:rPr>
  </w:style>
  <w:style w:type="character" w:customStyle="1" w:styleId="CommentSubjectChar">
    <w:name w:val="Comment Subject Char"/>
    <w:basedOn w:val="CommentTextChar"/>
    <w:link w:val="CommentSubject"/>
    <w:uiPriority w:val="99"/>
    <w:semiHidden/>
    <w:rsid w:val="00C74F22"/>
    <w:rPr>
      <w:b/>
      <w:bCs/>
    </w:rPr>
  </w:style>
  <w:style w:type="paragraph" w:customStyle="1" w:styleId="Body">
    <w:name w:val="Body"/>
    <w:rsid w:val="009C38F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r="http://schemas.openxmlformats.org/officeDocument/2006/relationships" xmlns:w="http://schemas.openxmlformats.org/wordprocessingml/2006/main">
  <w:divs>
    <w:div w:id="14231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gov.uk/uksi/2014/1530/part/3/crossheading/sen-information-report/made" TargetMode="External"/><Relationship Id="rId26" Type="http://schemas.openxmlformats.org/officeDocument/2006/relationships/hyperlink" Target="http://wisenet.wiltshire.gov.uk/documents/dsweb/Get/Document-14491/A179-14%20My%20Plan%20-%20Ltr.doc" TargetMode="External"/><Relationship Id="rId3" Type="http://schemas.openxmlformats.org/officeDocument/2006/relationships/styles" Target="styles.xml"/><Relationship Id="rId21" Type="http://schemas.openxmlformats.org/officeDocument/2006/relationships/hyperlink" Target="http://www.wiltshirepathways.org/GenPage.asp?ID=5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iltshirelocaloffer.org.uk/"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wiltshirelocaloffer.org.uk/" TargetMode="External"/><Relationship Id="rId29" Type="http://schemas.openxmlformats.org/officeDocument/2006/relationships/hyperlink" Target="https://www.gov.uk/teacher-assessment-using-p-sc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isenet.wiltshire.gov.uk/documents/dsweb/HomePage" TargetMode="External"/><Relationship Id="rId28" Type="http://schemas.openxmlformats.org/officeDocument/2006/relationships/hyperlink" Target="http://www.sdqinfo.org/"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n.hamby\Desktop\Shortcuts\Individual%20pupil%20template%20deskt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45383-EA02-487D-BD82-2B463B6A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Individual pupil template desktop.dotx</Template>
  <TotalTime>16</TotalTime>
  <Pages>24</Pages>
  <Words>6399</Words>
  <Characters>36476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Wiltshire Indicators and Provisions</Company>
  <LinksUpToDate>false</LinksUpToDate>
  <CharactersWithSpaces>42790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bethan.hamby</dc:creator>
  <cp:lastModifiedBy>clare.shipley</cp:lastModifiedBy>
  <cp:revision>5</cp:revision>
  <dcterms:created xsi:type="dcterms:W3CDTF">2016-10-17T07:29:00Z</dcterms:created>
  <dcterms:modified xsi:type="dcterms:W3CDTF">2016-10-26T15:30:00Z</dcterms:modified>
</cp:coreProperties>
</file>